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511810</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399" w:lineRule="exact"/>
        <w:rPr>
          <w:sz w:val="24"/>
          <w:szCs w:val="24"/>
          <w:color w:val="auto"/>
        </w:rPr>
      </w:pPr>
    </w:p>
    <w:p>
      <w:pPr>
        <w:ind w:left="480" w:right="5180" w:hanging="476"/>
        <w:spacing w:after="0" w:line="238" w:lineRule="auto"/>
        <w:tabs>
          <w:tab w:leader="none" w:pos="48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September 30, 2022</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05" w:lineRule="exact"/>
        <w:rPr>
          <w:sz w:val="24"/>
          <w:szCs w:val="24"/>
          <w:color w:val="auto"/>
        </w:rPr>
      </w:pPr>
    </w:p>
    <w:p>
      <w:pPr>
        <w:ind w:left="480" w:right="5460" w:hanging="476"/>
        <w:spacing w:after="0" w:line="238" w:lineRule="auto"/>
        <w:tabs>
          <w:tab w:leader="none" w:pos="48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21" w:lineRule="exact"/>
        <w:rPr>
          <w:sz w:val="24"/>
          <w:szCs w:val="24"/>
          <w:color w:val="auto"/>
        </w:rPr>
      </w:pPr>
    </w:p>
    <w:p>
      <w:pPr>
        <w:ind w:left="4460"/>
        <w:spacing w:after="0"/>
        <w:rPr>
          <w:sz w:val="20"/>
          <w:szCs w:val="20"/>
          <w:color w:val="auto"/>
        </w:rPr>
      </w:pPr>
      <w:r>
        <w:rPr>
          <w:rFonts w:ascii="Arial" w:cs="Arial" w:eastAsia="Arial" w:hAnsi="Arial"/>
          <w:sz w:val="12"/>
          <w:szCs w:val="12"/>
          <w:b w:val="1"/>
          <w:bCs w:val="1"/>
          <w:color w:val="auto"/>
        </w:rPr>
        <w:t>For the transition period from _____ to 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Commission File Number: 001-38599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Aquestive Therapeutics,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44"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334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920" w:type="dxa"/>
            <w:vAlign w:val="bottom"/>
          </w:tcPr>
          <w:p>
            <w:pPr>
              <w:spacing w:after="0"/>
              <w:rPr>
                <w:sz w:val="13"/>
                <w:szCs w:val="13"/>
                <w:color w:val="auto"/>
              </w:rPr>
            </w:pPr>
          </w:p>
        </w:tc>
        <w:tc>
          <w:tcPr>
            <w:tcW w:w="3640" w:type="dxa"/>
            <w:vAlign w:val="bottom"/>
            <w:gridSpan w:val="2"/>
          </w:tcPr>
          <w:p>
            <w:pPr>
              <w:jc w:val="center"/>
              <w:ind w:right="1320"/>
              <w:spacing w:after="0"/>
              <w:rPr>
                <w:sz w:val="20"/>
                <w:szCs w:val="20"/>
                <w:color w:val="auto"/>
              </w:rPr>
            </w:pPr>
            <w:r>
              <w:rPr>
                <w:rFonts w:ascii="Arial" w:cs="Arial" w:eastAsia="Arial" w:hAnsi="Arial"/>
                <w:sz w:val="12"/>
                <w:szCs w:val="12"/>
                <w:b w:val="1"/>
                <w:bCs w:val="1"/>
                <w:color w:val="auto"/>
                <w:w w:val="91"/>
              </w:rPr>
              <w:t>30 Technology Drive, Warren, NJ 07059</w:t>
            </w:r>
          </w:p>
        </w:tc>
        <w:tc>
          <w:tcPr>
            <w:tcW w:w="3400" w:type="dxa"/>
            <w:vAlign w:val="bottom"/>
          </w:tcPr>
          <w:p>
            <w:pPr>
              <w:jc w:val="right"/>
              <w:ind w:right="1520"/>
              <w:spacing w:after="0"/>
              <w:rPr>
                <w:sz w:val="20"/>
                <w:szCs w:val="20"/>
                <w:color w:val="auto"/>
              </w:rPr>
            </w:pPr>
            <w:r>
              <w:rPr>
                <w:rFonts w:ascii="Arial" w:cs="Arial" w:eastAsia="Arial" w:hAnsi="Arial"/>
                <w:sz w:val="12"/>
                <w:szCs w:val="12"/>
                <w:b w:val="1"/>
                <w:bCs w:val="1"/>
                <w:color w:val="auto"/>
              </w:rPr>
              <w:t>82-3827296</w:t>
            </w:r>
          </w:p>
        </w:tc>
      </w:tr>
      <w:tr>
        <w:trPr>
          <w:trHeight w:val="157"/>
        </w:trPr>
        <w:tc>
          <w:tcPr>
            <w:tcW w:w="3340" w:type="dxa"/>
            <w:vAlign w:val="bottom"/>
          </w:tcPr>
          <w:p>
            <w:pPr>
              <w:jc w:val="center"/>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3680" w:type="dxa"/>
            <w:vAlign w:val="bottom"/>
            <w:gridSpan w:val="2"/>
          </w:tcPr>
          <w:p>
            <w:pPr>
              <w:jc w:val="right"/>
              <w:ind w:right="1140"/>
              <w:spacing w:after="0"/>
              <w:rPr>
                <w:sz w:val="20"/>
                <w:szCs w:val="20"/>
                <w:color w:val="auto"/>
              </w:rPr>
            </w:pPr>
            <w:r>
              <w:rPr>
                <w:rFonts w:ascii="Arial" w:cs="Arial" w:eastAsia="Arial" w:hAnsi="Arial"/>
                <w:sz w:val="12"/>
                <w:szCs w:val="12"/>
                <w:b w:val="1"/>
                <w:bCs w:val="1"/>
                <w:color w:val="auto"/>
              </w:rPr>
              <w:t>( 908) 941-1900</w:t>
            </w:r>
          </w:p>
        </w:tc>
        <w:tc>
          <w:tcPr>
            <w:tcW w:w="880" w:type="dxa"/>
            <w:vAlign w:val="bottom"/>
          </w:tcPr>
          <w:p>
            <w:pPr>
              <w:spacing w:after="0"/>
              <w:rPr>
                <w:sz w:val="13"/>
                <w:szCs w:val="13"/>
                <w:color w:val="auto"/>
              </w:rPr>
            </w:pPr>
          </w:p>
        </w:tc>
        <w:tc>
          <w:tcPr>
            <w:tcW w:w="3400" w:type="dxa"/>
            <w:vAlign w:val="bottom"/>
          </w:tcPr>
          <w:p>
            <w:pPr>
              <w:jc w:val="center"/>
              <w:ind w:right="260"/>
              <w:spacing w:after="0"/>
              <w:rPr>
                <w:sz w:val="20"/>
                <w:szCs w:val="20"/>
                <w:color w:val="auto"/>
              </w:rPr>
            </w:pPr>
            <w:r>
              <w:rPr>
                <w:rFonts w:ascii="Arial" w:cs="Arial" w:eastAsia="Arial" w:hAnsi="Arial"/>
                <w:sz w:val="12"/>
                <w:szCs w:val="12"/>
                <w:color w:val="auto"/>
                <w:w w:val="93"/>
              </w:rPr>
              <w:t>(I.R.S. Employer Identification Number)</w:t>
            </w:r>
          </w:p>
        </w:tc>
      </w:tr>
      <w:tr>
        <w:trPr>
          <w:trHeight w:val="360"/>
        </w:trPr>
        <w:tc>
          <w:tcPr>
            <w:tcW w:w="3340" w:type="dxa"/>
            <w:vAlign w:val="bottom"/>
          </w:tcPr>
          <w:p>
            <w:pPr>
              <w:spacing w:after="0"/>
              <w:rPr>
                <w:sz w:val="24"/>
                <w:szCs w:val="24"/>
                <w:color w:val="auto"/>
              </w:rPr>
            </w:pPr>
          </w:p>
        </w:tc>
        <w:tc>
          <w:tcPr>
            <w:tcW w:w="4560" w:type="dxa"/>
            <w:vAlign w:val="bottom"/>
            <w:gridSpan w:val="3"/>
          </w:tcPr>
          <w:p>
            <w:pPr>
              <w:jc w:val="center"/>
              <w:spacing w:after="0"/>
              <w:rPr>
                <w:sz w:val="20"/>
                <w:szCs w:val="20"/>
                <w:color w:val="auto"/>
              </w:rPr>
            </w:pPr>
            <w:r>
              <w:rPr>
                <w:rFonts w:ascii="Arial" w:cs="Arial" w:eastAsia="Arial" w:hAnsi="Arial"/>
                <w:sz w:val="12"/>
                <w:szCs w:val="12"/>
                <w:color w:val="auto"/>
                <w:w w:val="91"/>
              </w:rPr>
              <w:t>(Address, Zip Code and Telephone Number of Registrant’s Principal Executive Offices)</w:t>
            </w:r>
          </w:p>
        </w:tc>
        <w:tc>
          <w:tcPr>
            <w:tcW w:w="3400" w:type="dxa"/>
            <w:vAlign w:val="bottom"/>
          </w:tcPr>
          <w:p>
            <w:pPr>
              <w:spacing w:after="0"/>
              <w:rPr>
                <w:sz w:val="24"/>
                <w:szCs w:val="24"/>
                <w:color w:val="auto"/>
              </w:rPr>
            </w:pPr>
          </w:p>
        </w:tc>
      </w:tr>
      <w:tr>
        <w:trPr>
          <w:trHeight w:val="306"/>
        </w:trPr>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gridSpan w:val="2"/>
          </w:tcPr>
          <w:p>
            <w:pPr>
              <w:jc w:val="center"/>
              <w:ind w:right="880"/>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3400" w:type="dxa"/>
            <w:vAlign w:val="bottom"/>
          </w:tcPr>
          <w:p>
            <w:pPr>
              <w:spacing w:after="0"/>
              <w:rPr>
                <w:sz w:val="24"/>
                <w:szCs w:val="24"/>
                <w:color w:val="auto"/>
              </w:rPr>
            </w:pPr>
          </w:p>
        </w:tc>
      </w:tr>
      <w:tr>
        <w:trPr>
          <w:trHeight w:val="243"/>
        </w:trPr>
        <w:tc>
          <w:tcPr>
            <w:tcW w:w="3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r>
      <w:tr>
        <w:trPr>
          <w:trHeight w:val="142"/>
        </w:trPr>
        <w:tc>
          <w:tcPr>
            <w:tcW w:w="3340" w:type="dxa"/>
            <w:vAlign w:val="bottom"/>
            <w:tcBorders>
              <w:left w:val="single" w:sz="8" w:color="auto"/>
              <w:bottom w:val="single" w:sz="8" w:color="auto"/>
            </w:tcBorders>
          </w:tcPr>
          <w:p>
            <w:pPr>
              <w:jc w:val="center"/>
              <w:ind w:left="860"/>
              <w:spacing w:after="0"/>
              <w:rPr>
                <w:sz w:val="20"/>
                <w:szCs w:val="20"/>
                <w:color w:val="auto"/>
              </w:rPr>
            </w:pPr>
            <w:r>
              <w:rPr>
                <w:rFonts w:ascii="Arial" w:cs="Arial" w:eastAsia="Arial" w:hAnsi="Arial"/>
                <w:sz w:val="12"/>
                <w:szCs w:val="12"/>
                <w:b w:val="1"/>
                <w:bCs w:val="1"/>
                <w:color w:val="auto"/>
                <w:w w:val="87"/>
              </w:rPr>
              <w:t>Title of each class</w:t>
            </w:r>
          </w:p>
        </w:tc>
        <w:tc>
          <w:tcPr>
            <w:tcW w:w="9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88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jc w:val="center"/>
              <w:ind w:right="86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42"/>
        </w:trPr>
        <w:tc>
          <w:tcPr>
            <w:tcW w:w="3340" w:type="dxa"/>
            <w:vAlign w:val="bottom"/>
            <w:tcBorders>
              <w:left w:val="single" w:sz="8" w:color="auto"/>
              <w:bottom w:val="single" w:sz="8" w:color="auto"/>
            </w:tcBorders>
          </w:tcPr>
          <w:p>
            <w:pPr>
              <w:jc w:val="center"/>
              <w:ind w:left="840"/>
              <w:spacing w:after="0"/>
              <w:rPr>
                <w:sz w:val="20"/>
                <w:szCs w:val="20"/>
                <w:color w:val="auto"/>
              </w:rPr>
            </w:pPr>
            <w:r>
              <w:rPr>
                <w:rFonts w:ascii="Arial" w:cs="Arial" w:eastAsia="Arial" w:hAnsi="Arial"/>
                <w:sz w:val="12"/>
                <w:szCs w:val="12"/>
                <w:color w:val="auto"/>
                <w:w w:val="89"/>
              </w:rPr>
              <w:t>Common Stock, par value $0.001 per share</w:t>
            </w:r>
          </w:p>
        </w:tc>
        <w:tc>
          <w:tcPr>
            <w:tcW w:w="9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AQST</w:t>
            </w:r>
          </w:p>
        </w:tc>
        <w:tc>
          <w:tcPr>
            <w:tcW w:w="88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jc w:val="center"/>
              <w:ind w:right="860"/>
              <w:spacing w:after="0"/>
              <w:rPr>
                <w:sz w:val="20"/>
                <w:szCs w:val="20"/>
                <w:color w:val="auto"/>
              </w:rPr>
            </w:pPr>
            <w:r>
              <w:rPr>
                <w:rFonts w:ascii="Arial" w:cs="Arial" w:eastAsia="Arial" w:hAnsi="Arial"/>
                <w:sz w:val="12"/>
                <w:szCs w:val="12"/>
                <w:color w:val="auto"/>
                <w:w w:val="96"/>
              </w:rPr>
              <w:t>NASDAQ Global Market</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p>
    <w:p>
      <w:pPr>
        <w:spacing w:after="0" w:line="172" w:lineRule="exact"/>
        <w:rPr>
          <w:sz w:val="24"/>
          <w:szCs w:val="24"/>
          <w:color w:val="auto"/>
        </w:rPr>
      </w:pPr>
    </w:p>
    <w:p>
      <w:pPr>
        <w:jc w:val="both"/>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42" w:lineRule="exact"/>
        <w:rPr>
          <w:sz w:val="24"/>
          <w:szCs w:val="24"/>
          <w:color w:val="auto"/>
        </w:rPr>
      </w:pPr>
    </w:p>
    <w:p>
      <w:pPr>
        <w:jc w:val="both"/>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42" w:lineRule="exact"/>
        <w:rPr>
          <w:sz w:val="24"/>
          <w:szCs w:val="24"/>
          <w:color w:val="auto"/>
        </w:rPr>
      </w:pPr>
    </w:p>
    <w:p>
      <w:pPr>
        <w:jc w:val="both"/>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91" w:lineRule="exact"/>
        <w:rPr>
          <w:sz w:val="24"/>
          <w:szCs w:val="24"/>
          <w:color w:val="auto"/>
        </w:rPr>
      </w:pPr>
    </w:p>
    <w:tbl>
      <w:tblPr>
        <w:tblLayout w:type="fixed"/>
        <w:tblInd w:w="2100" w:type="dxa"/>
        <w:tblCellMar>
          <w:top w:w="0" w:type="dxa"/>
          <w:left w:w="0" w:type="dxa"/>
          <w:bottom w:w="0" w:type="dxa"/>
          <w:right w:w="0" w:type="dxa"/>
        </w:tblCellMar>
      </w:tblPr>
      <w:tr>
        <w:trPr>
          <w:trHeight w:val="153"/>
        </w:trPr>
        <w:tc>
          <w:tcPr>
            <w:tcW w:w="15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40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2680" w:type="dxa"/>
            <w:vAlign w:val="bottom"/>
          </w:tcPr>
          <w:p>
            <w:pPr>
              <w:ind w:left="760"/>
              <w:spacing w:after="0"/>
              <w:rPr>
                <w:sz w:val="20"/>
                <w:szCs w:val="20"/>
                <w:color w:val="auto"/>
              </w:rPr>
            </w:pPr>
            <w:r>
              <w:rPr>
                <w:rFonts w:ascii="Arial" w:cs="Arial" w:eastAsia="Arial" w:hAnsi="Arial"/>
                <w:sz w:val="12"/>
                <w:szCs w:val="12"/>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1580" w:type="dxa"/>
            <w:vAlign w:val="bottom"/>
          </w:tcPr>
          <w:p>
            <w:pPr>
              <w:spacing w:after="0"/>
              <w:rPr>
                <w:sz w:val="20"/>
                <w:szCs w:val="20"/>
                <w:color w:val="auto"/>
              </w:rPr>
            </w:pPr>
            <w:r>
              <w:rPr>
                <w:rFonts w:ascii="Arial" w:cs="Arial" w:eastAsia="Arial" w:hAnsi="Arial"/>
                <w:sz w:val="12"/>
                <w:szCs w:val="12"/>
                <w:color w:val="auto"/>
              </w:rPr>
              <w:t>Non-accelerated filer</w:t>
            </w:r>
          </w:p>
        </w:tc>
        <w:tc>
          <w:tcPr>
            <w:tcW w:w="140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2680" w:type="dxa"/>
            <w:vAlign w:val="bottom"/>
          </w:tcPr>
          <w:p>
            <w:pPr>
              <w:ind w:left="760"/>
              <w:spacing w:after="0"/>
              <w:rPr>
                <w:sz w:val="20"/>
                <w:szCs w:val="20"/>
                <w:color w:val="auto"/>
              </w:rPr>
            </w:pPr>
            <w:r>
              <w:rPr>
                <w:rFonts w:ascii="Arial" w:cs="Arial" w:eastAsia="Arial" w:hAnsi="Arial"/>
                <w:sz w:val="12"/>
                <w:szCs w:val="12"/>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80" w:type="dxa"/>
            <w:vAlign w:val="bottom"/>
          </w:tcPr>
          <w:p>
            <w:pPr>
              <w:ind w:left="760"/>
              <w:spacing w:after="0"/>
              <w:rPr>
                <w:sz w:val="20"/>
                <w:szCs w:val="20"/>
                <w:color w:val="auto"/>
              </w:rPr>
            </w:pPr>
            <w:r>
              <w:rPr>
                <w:rFonts w:ascii="Arial" w:cs="Arial" w:eastAsia="Arial" w:hAnsi="Arial"/>
                <w:sz w:val="12"/>
                <w:szCs w:val="12"/>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4" w:lineRule="exact"/>
        <w:rPr>
          <w:sz w:val="24"/>
          <w:szCs w:val="24"/>
          <w:color w:val="auto"/>
        </w:rPr>
      </w:pPr>
    </w:p>
    <w:p>
      <w:pPr>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9"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The number of outstanding shares of the registrant’s common stock, par value of $0.001 per share, as of the close of business on October 24, 2022 was 54,156,014.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585470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78105</wp:posOffset>
            </wp:positionV>
            <wp:extent cx="71666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114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60960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0"/>
          </w:cols>
          <w:pgMar w:left="300" w:top="899" w:right="299" w:bottom="1440" w:gutter="0" w:footer="0" w:header="0"/>
        </w:sectPr>
      </w:pPr>
    </w:p>
    <w:bookmarkStart w:id="1" w:name="page2"/>
    <w:bookmarkEnd w:id="1"/>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80" w:type="dxa"/>
            <w:vAlign w:val="bottom"/>
            <w:gridSpan w:val="2"/>
          </w:tcPr>
          <w:p>
            <w:pPr>
              <w:ind w:left="300"/>
              <w:spacing w:after="0"/>
              <w:rPr>
                <w:sz w:val="20"/>
                <w:szCs w:val="20"/>
                <w:color w:val="auto"/>
              </w:rPr>
            </w:pPr>
            <w:r>
              <w:rPr>
                <w:rFonts w:ascii="Arial" w:cs="Arial" w:eastAsia="Arial" w:hAnsi="Arial"/>
                <w:sz w:val="12"/>
                <w:szCs w:val="12"/>
                <w:b w:val="1"/>
                <w:bCs w:val="1"/>
                <w:color w:val="auto"/>
              </w:rPr>
              <w:t>Page No.</w:t>
            </w:r>
          </w:p>
        </w:tc>
      </w:tr>
      <w:tr>
        <w:trPr>
          <w:trHeight w:val="142"/>
        </w:trPr>
        <w:tc>
          <w:tcPr>
            <w:tcW w:w="10220" w:type="dxa"/>
            <w:vAlign w:val="bottom"/>
            <w:gridSpan w:val="16"/>
          </w:tcPr>
          <w:p>
            <w:pPr>
              <w:spacing w:after="0"/>
              <w:rPr>
                <w:sz w:val="20"/>
                <w:szCs w:val="20"/>
                <w:color w:val="auto"/>
              </w:rPr>
            </w:pPr>
            <w:r>
              <w:rPr>
                <w:rFonts w:ascii="Arial" w:cs="Arial" w:eastAsia="Arial" w:hAnsi="Arial"/>
                <w:sz w:val="12"/>
                <w:szCs w:val="12"/>
                <w:color w:val="auto"/>
              </w:rPr>
              <w:t>PART I – FINANCIAL INFORMATION</w:t>
            </w: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1260" w:type="dxa"/>
            <w:vAlign w:val="bottom"/>
            <w:gridSpan w:val="2"/>
          </w:tcPr>
          <w:p>
            <w:pPr>
              <w:spacing w:after="0"/>
              <w:rPr>
                <w:sz w:val="20"/>
                <w:szCs w:val="20"/>
                <w:color w:val="auto"/>
              </w:rPr>
            </w:pPr>
            <w:r>
              <w:rPr>
                <w:rFonts w:ascii="Arial" w:cs="Arial" w:eastAsia="Arial" w:hAnsi="Arial"/>
                <w:sz w:val="12"/>
                <w:szCs w:val="12"/>
                <w:color w:val="auto"/>
              </w:rPr>
              <w:t>Item 1.</w:t>
            </w:r>
          </w:p>
        </w:tc>
        <w:tc>
          <w:tcPr>
            <w:tcW w:w="8960" w:type="dxa"/>
            <w:vAlign w:val="bottom"/>
            <w:gridSpan w:val="14"/>
          </w:tcPr>
          <w:p>
            <w:pPr>
              <w:spacing w:after="0"/>
              <w:rPr>
                <w:sz w:val="20"/>
                <w:szCs w:val="20"/>
                <w:color w:val="auto"/>
              </w:rPr>
            </w:pPr>
            <w:r>
              <w:rPr>
                <w:rFonts w:ascii="Arial" w:cs="Arial" w:eastAsia="Arial" w:hAnsi="Arial"/>
                <w:sz w:val="12"/>
                <w:szCs w:val="12"/>
                <w:color w:val="0000FF"/>
              </w:rPr>
              <w:t>Financial Statements (Unaudited)</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3"/>
        </w:trPr>
        <w:tc>
          <w:tcPr>
            <w:tcW w:w="7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380" w:type="dxa"/>
            <w:vAlign w:val="bottom"/>
            <w:tcBorders>
              <w:bottom w:val="single" w:sz="8" w:color="0000FF"/>
            </w:tcBorders>
            <w:gridSpan w:val="10"/>
            <w:shd w:val="clear" w:color="auto" w:fill="CCEEFF"/>
          </w:tcPr>
          <w:p>
            <w:pPr>
              <w:spacing w:after="0" w:line="126" w:lineRule="exact"/>
              <w:rPr>
                <w:sz w:val="20"/>
                <w:szCs w:val="20"/>
                <w:color w:val="auto"/>
              </w:rPr>
            </w:pPr>
            <w:r>
              <w:rPr>
                <w:rFonts w:ascii="Arial" w:cs="Arial" w:eastAsia="Arial" w:hAnsi="Arial"/>
                <w:sz w:val="12"/>
                <w:szCs w:val="12"/>
                <w:color w:val="0000FF"/>
                <w:w w:val="87"/>
              </w:rPr>
              <w:t>Condensed Consolidated Balance Sheets as of September 30, 2022 and December 31, 2021</w:t>
            </w:r>
          </w:p>
        </w:tc>
        <w:tc>
          <w:tcPr>
            <w:tcW w:w="4580" w:type="dxa"/>
            <w:vAlign w:val="bottom"/>
            <w:tcBorders>
              <w:bottom w:val="single" w:sz="8" w:color="CCEEFF"/>
            </w:tcBorders>
            <w:gridSpan w:val="4"/>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3</w:t>
            </w:r>
          </w:p>
        </w:tc>
        <w:tc>
          <w:tcPr>
            <w:tcW w:w="2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900" w:type="dxa"/>
            <w:vAlign w:val="bottom"/>
            <w:tcBorders>
              <w:bottom w:val="single" w:sz="8" w:color="0000FF"/>
            </w:tcBorders>
            <w:gridSpan w:val="13"/>
          </w:tcPr>
          <w:p>
            <w:pPr>
              <w:spacing w:after="0" w:line="126" w:lineRule="exact"/>
              <w:rPr>
                <w:sz w:val="20"/>
                <w:szCs w:val="20"/>
                <w:color w:val="auto"/>
              </w:rPr>
            </w:pPr>
            <w:r>
              <w:rPr>
                <w:rFonts w:ascii="Arial" w:cs="Arial" w:eastAsia="Arial" w:hAnsi="Arial"/>
                <w:sz w:val="12"/>
                <w:szCs w:val="12"/>
                <w:color w:val="0000FF"/>
                <w:w w:val="88"/>
              </w:rPr>
              <w:t>Condensed Consolidated Statements of Operations and Comprehensive Loss for the three and nine months ended September 30, 2022 and 2021</w:t>
            </w:r>
          </w:p>
        </w:tc>
        <w:tc>
          <w:tcPr>
            <w:tcW w:w="2060" w:type="dxa"/>
            <w:vAlign w:val="bottom"/>
          </w:tcPr>
          <w:p>
            <w:pPr>
              <w:spacing w:after="0"/>
              <w:rPr>
                <w:sz w:val="11"/>
                <w:szCs w:val="11"/>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4</w:t>
            </w:r>
          </w:p>
        </w:tc>
        <w:tc>
          <w:tcPr>
            <w:tcW w:w="20" w:type="dxa"/>
            <w:vAlign w:val="bottom"/>
          </w:tcPr>
          <w:p>
            <w:pPr>
              <w:spacing w:after="0"/>
              <w:rPr>
                <w:sz w:val="11"/>
                <w:szCs w:val="11"/>
                <w:color w:val="auto"/>
              </w:rPr>
            </w:pPr>
          </w:p>
        </w:tc>
      </w:tr>
      <w:tr>
        <w:trPr>
          <w:trHeight w:val="133"/>
        </w:trPr>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960" w:type="dxa"/>
            <w:vAlign w:val="bottom"/>
            <w:gridSpan w:val="14"/>
            <w:shd w:val="clear" w:color="auto" w:fill="CCEEFF"/>
          </w:tcPr>
          <w:p>
            <w:pPr>
              <w:spacing w:after="0" w:line="126" w:lineRule="exact"/>
              <w:rPr>
                <w:sz w:val="20"/>
                <w:szCs w:val="20"/>
                <w:color w:val="auto"/>
              </w:rPr>
            </w:pPr>
            <w:r>
              <w:rPr>
                <w:rFonts w:ascii="Arial" w:cs="Arial" w:eastAsia="Arial" w:hAnsi="Arial"/>
                <w:sz w:val="12"/>
                <w:szCs w:val="12"/>
                <w:color w:val="0000FF"/>
              </w:rPr>
              <w:t>Condensed Consolidated Statements of Changes in Stockholders’ Deficit for the three and nine months ended September 30, 2022 and 2021</w:t>
            </w:r>
          </w:p>
        </w:tc>
        <w:tc>
          <w:tcPr>
            <w:tcW w:w="10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5</w:t>
            </w:r>
          </w:p>
        </w:tc>
        <w:tc>
          <w:tcPr>
            <w:tcW w:w="20" w:type="dxa"/>
            <w:vAlign w:val="bottom"/>
          </w:tcPr>
          <w:p>
            <w:pPr>
              <w:spacing w:after="0"/>
              <w:rPr>
                <w:sz w:val="11"/>
                <w:szCs w:val="11"/>
                <w:color w:val="auto"/>
              </w:rPr>
            </w:pPr>
          </w:p>
        </w:tc>
      </w:tr>
      <w:tr>
        <w:trPr>
          <w:trHeight w:val="133"/>
        </w:trPr>
        <w:tc>
          <w:tcPr>
            <w:tcW w:w="7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5220" w:type="dxa"/>
            <w:vAlign w:val="bottom"/>
            <w:tcBorders>
              <w:top w:val="single" w:sz="8" w:color="0000FF"/>
              <w:bottom w:val="single" w:sz="8" w:color="0000FF"/>
            </w:tcBorders>
            <w:gridSpan w:val="11"/>
          </w:tcPr>
          <w:p>
            <w:pPr>
              <w:spacing w:after="0" w:line="126" w:lineRule="exact"/>
              <w:rPr>
                <w:sz w:val="20"/>
                <w:szCs w:val="20"/>
                <w:color w:val="auto"/>
              </w:rPr>
            </w:pPr>
            <w:r>
              <w:rPr>
                <w:rFonts w:ascii="Arial" w:cs="Arial" w:eastAsia="Arial" w:hAnsi="Arial"/>
                <w:sz w:val="12"/>
                <w:szCs w:val="12"/>
                <w:color w:val="0000FF"/>
                <w:w w:val="88"/>
              </w:rPr>
              <w:t>Condensed Consolidated Statements of Cash Flows for the nine months ended September 30, 2022 and 2021</w:t>
            </w:r>
          </w:p>
        </w:tc>
        <w:tc>
          <w:tcPr>
            <w:tcW w:w="1500" w:type="dxa"/>
            <w:vAlign w:val="bottom"/>
            <w:tcBorders>
              <w:top w:val="single" w:sz="8" w:color="0000FF"/>
            </w:tcBorders>
          </w:tcPr>
          <w:p>
            <w:pPr>
              <w:spacing w:after="0"/>
              <w:rPr>
                <w:sz w:val="11"/>
                <w:szCs w:val="11"/>
                <w:color w:val="auto"/>
              </w:rPr>
            </w:pPr>
          </w:p>
        </w:tc>
        <w:tc>
          <w:tcPr>
            <w:tcW w:w="2240" w:type="dxa"/>
            <w:vAlign w:val="bottom"/>
            <w:tcBorders>
              <w:top w:val="single" w:sz="8" w:color="CCEEFF"/>
            </w:tcBorders>
            <w:gridSpan w:val="2"/>
          </w:tcPr>
          <w:p>
            <w:pPr>
              <w:spacing w:after="0"/>
              <w:rPr>
                <w:sz w:val="11"/>
                <w:szCs w:val="11"/>
                <w:color w:val="auto"/>
              </w:rPr>
            </w:pPr>
          </w:p>
        </w:tc>
        <w:tc>
          <w:tcPr>
            <w:tcW w:w="1060" w:type="dxa"/>
            <w:vAlign w:val="bottom"/>
            <w:tcBorders>
              <w:top w:val="single" w:sz="8" w:color="CCEEFF"/>
            </w:tcBorders>
          </w:tcPr>
          <w:p>
            <w:pPr>
              <w:jc w:val="center"/>
              <w:spacing w:after="0" w:line="126" w:lineRule="exact"/>
              <w:rPr>
                <w:sz w:val="20"/>
                <w:szCs w:val="20"/>
                <w:color w:val="auto"/>
              </w:rPr>
            </w:pPr>
            <w:r>
              <w:rPr>
                <w:rFonts w:ascii="Arial" w:cs="Arial" w:eastAsia="Arial" w:hAnsi="Arial"/>
                <w:sz w:val="12"/>
                <w:szCs w:val="12"/>
                <w:color w:val="auto"/>
                <w:w w:val="89"/>
              </w:rPr>
              <w:t>7</w:t>
            </w:r>
          </w:p>
        </w:tc>
        <w:tc>
          <w:tcPr>
            <w:tcW w:w="20" w:type="dxa"/>
            <w:vAlign w:val="bottom"/>
          </w:tcPr>
          <w:p>
            <w:pPr>
              <w:spacing w:after="0"/>
              <w:rPr>
                <w:sz w:val="11"/>
                <w:szCs w:val="11"/>
                <w:color w:val="auto"/>
              </w:rPr>
            </w:pPr>
          </w:p>
        </w:tc>
      </w:tr>
      <w:tr>
        <w:trPr>
          <w:trHeight w:val="126"/>
        </w:trPr>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960" w:type="dxa"/>
            <w:vAlign w:val="bottom"/>
            <w:gridSpan w:val="14"/>
            <w:shd w:val="clear" w:color="auto" w:fill="CCEEFF"/>
          </w:tcPr>
          <w:p>
            <w:pPr>
              <w:spacing w:after="0" w:line="126" w:lineRule="exact"/>
              <w:rPr>
                <w:sz w:val="20"/>
                <w:szCs w:val="20"/>
                <w:color w:val="auto"/>
              </w:rPr>
            </w:pPr>
            <w:r>
              <w:rPr>
                <w:rFonts w:ascii="Arial" w:cs="Arial" w:eastAsia="Arial" w:hAnsi="Arial"/>
                <w:sz w:val="12"/>
                <w:szCs w:val="12"/>
                <w:color w:val="0000FF"/>
              </w:rPr>
              <w:t>Notes to Unaudited Condensed Consolidated Financial Statements</w:t>
            </w:r>
          </w:p>
        </w:tc>
        <w:tc>
          <w:tcPr>
            <w:tcW w:w="10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8</w:t>
            </w:r>
          </w:p>
        </w:tc>
        <w:tc>
          <w:tcPr>
            <w:tcW w:w="20" w:type="dxa"/>
            <w:vAlign w:val="bottom"/>
          </w:tcPr>
          <w:p>
            <w:pPr>
              <w:spacing w:after="0"/>
              <w:rPr>
                <w:sz w:val="10"/>
                <w:szCs w:val="10"/>
                <w:color w:val="auto"/>
              </w:rPr>
            </w:pPr>
          </w:p>
        </w:tc>
      </w:tr>
      <w:tr>
        <w:trPr>
          <w:trHeight w:val="27"/>
        </w:trPr>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33"/>
        </w:trPr>
        <w:tc>
          <w:tcPr>
            <w:tcW w:w="1260" w:type="dxa"/>
            <w:vAlign w:val="bottom"/>
            <w:gridSpan w:val="2"/>
          </w:tcPr>
          <w:p>
            <w:pPr>
              <w:spacing w:after="0" w:line="126"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FF"/>
            </w:tcBorders>
            <w:gridSpan w:val="9"/>
          </w:tcPr>
          <w:p>
            <w:pPr>
              <w:spacing w:after="0" w:line="126" w:lineRule="exact"/>
              <w:rPr>
                <w:sz w:val="20"/>
                <w:szCs w:val="20"/>
                <w:color w:val="auto"/>
              </w:rPr>
            </w:pPr>
            <w:r>
              <w:rPr>
                <w:rFonts w:ascii="Arial" w:cs="Arial" w:eastAsia="Arial" w:hAnsi="Arial"/>
                <w:sz w:val="12"/>
                <w:szCs w:val="12"/>
                <w:color w:val="0000FF"/>
                <w:w w:val="90"/>
              </w:rPr>
              <w:t>Management’s Discussion and Analysis of Financial Condition and Results of Operations</w:t>
            </w:r>
          </w:p>
        </w:tc>
        <w:tc>
          <w:tcPr>
            <w:tcW w:w="4660" w:type="dxa"/>
            <w:vAlign w:val="bottom"/>
            <w:gridSpan w:val="5"/>
          </w:tcPr>
          <w:p>
            <w:pPr>
              <w:spacing w:after="0"/>
              <w:rPr>
                <w:sz w:val="11"/>
                <w:szCs w:val="11"/>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30</w:t>
            </w:r>
          </w:p>
        </w:tc>
        <w:tc>
          <w:tcPr>
            <w:tcW w:w="20" w:type="dxa"/>
            <w:vAlign w:val="bottom"/>
          </w:tcPr>
          <w:p>
            <w:pPr>
              <w:spacing w:after="0"/>
              <w:rPr>
                <w:sz w:val="11"/>
                <w:szCs w:val="11"/>
                <w:color w:val="auto"/>
              </w:rPr>
            </w:pPr>
          </w:p>
        </w:tc>
      </w:tr>
      <w:tr>
        <w:trPr>
          <w:trHeight w:val="133"/>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Item 3.</w:t>
            </w:r>
          </w:p>
        </w:tc>
        <w:tc>
          <w:tcPr>
            <w:tcW w:w="8960" w:type="dxa"/>
            <w:vAlign w:val="bottom"/>
            <w:gridSpan w:val="14"/>
            <w:shd w:val="clear" w:color="auto" w:fill="CCEEFF"/>
          </w:tcPr>
          <w:p>
            <w:pPr>
              <w:spacing w:after="0" w:line="126" w:lineRule="exact"/>
              <w:rPr>
                <w:sz w:val="20"/>
                <w:szCs w:val="20"/>
                <w:color w:val="auto"/>
              </w:rPr>
            </w:pPr>
            <w:r>
              <w:rPr>
                <w:rFonts w:ascii="Arial" w:cs="Arial" w:eastAsia="Arial" w:hAnsi="Arial"/>
                <w:sz w:val="12"/>
                <w:szCs w:val="12"/>
                <w:color w:val="0000FF"/>
              </w:rPr>
              <w:t>Quantitative and Qualitative Disclosures about Market Risk</w:t>
            </w:r>
          </w:p>
        </w:tc>
        <w:tc>
          <w:tcPr>
            <w:tcW w:w="10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44</w:t>
            </w:r>
          </w:p>
        </w:tc>
        <w:tc>
          <w:tcPr>
            <w:tcW w:w="20" w:type="dxa"/>
            <w:vAlign w:val="bottom"/>
          </w:tcPr>
          <w:p>
            <w:pPr>
              <w:spacing w:after="0"/>
              <w:rPr>
                <w:sz w:val="11"/>
                <w:szCs w:val="11"/>
                <w:color w:val="auto"/>
              </w:rPr>
            </w:pPr>
          </w:p>
        </w:tc>
      </w:tr>
      <w:tr>
        <w:trPr>
          <w:trHeight w:val="133"/>
        </w:trPr>
        <w:tc>
          <w:tcPr>
            <w:tcW w:w="1260" w:type="dxa"/>
            <w:vAlign w:val="bottom"/>
            <w:tcBorders>
              <w:top w:val="single" w:sz="8" w:color="CCEEFF"/>
            </w:tcBorders>
            <w:gridSpan w:val="2"/>
          </w:tcPr>
          <w:p>
            <w:pPr>
              <w:spacing w:after="0" w:line="126"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FF"/>
              <w:bottom w:val="single" w:sz="8" w:color="0000FF"/>
            </w:tcBorders>
            <w:gridSpan w:val="4"/>
          </w:tcPr>
          <w:p>
            <w:pPr>
              <w:spacing w:after="0" w:line="126" w:lineRule="exact"/>
              <w:rPr>
                <w:sz w:val="20"/>
                <w:szCs w:val="20"/>
                <w:color w:val="auto"/>
              </w:rPr>
            </w:pPr>
            <w:r>
              <w:rPr>
                <w:rFonts w:ascii="Arial" w:cs="Arial" w:eastAsia="Arial" w:hAnsi="Arial"/>
                <w:sz w:val="12"/>
                <w:szCs w:val="12"/>
                <w:color w:val="0000FF"/>
                <w:w w:val="87"/>
              </w:rPr>
              <w:t>Controls and Procedures</w:t>
            </w:r>
          </w:p>
        </w:tc>
        <w:tc>
          <w:tcPr>
            <w:tcW w:w="1680" w:type="dxa"/>
            <w:vAlign w:val="bottom"/>
            <w:tcBorders>
              <w:top w:val="single" w:sz="8" w:color="0000FF"/>
            </w:tcBorders>
            <w:gridSpan w:val="2"/>
          </w:tcPr>
          <w:p>
            <w:pPr>
              <w:spacing w:after="0"/>
              <w:rPr>
                <w:sz w:val="11"/>
                <w:szCs w:val="11"/>
                <w:color w:val="auto"/>
              </w:rPr>
            </w:pPr>
          </w:p>
        </w:tc>
        <w:tc>
          <w:tcPr>
            <w:tcW w:w="6100" w:type="dxa"/>
            <w:vAlign w:val="bottom"/>
            <w:tcBorders>
              <w:top w:val="single" w:sz="8" w:color="CCEEFF"/>
            </w:tcBorders>
            <w:gridSpan w:val="8"/>
          </w:tcPr>
          <w:p>
            <w:pPr>
              <w:spacing w:after="0"/>
              <w:rPr>
                <w:sz w:val="11"/>
                <w:szCs w:val="11"/>
                <w:color w:val="auto"/>
              </w:rPr>
            </w:pPr>
          </w:p>
        </w:tc>
        <w:tc>
          <w:tcPr>
            <w:tcW w:w="1060" w:type="dxa"/>
            <w:vAlign w:val="bottom"/>
            <w:tcBorders>
              <w:top w:val="single" w:sz="8" w:color="CCEEFF"/>
            </w:tcBorders>
          </w:tcPr>
          <w:p>
            <w:pPr>
              <w:jc w:val="center"/>
              <w:spacing w:after="0" w:line="126" w:lineRule="exact"/>
              <w:rPr>
                <w:sz w:val="20"/>
                <w:szCs w:val="20"/>
                <w:color w:val="auto"/>
              </w:rPr>
            </w:pPr>
            <w:r>
              <w:rPr>
                <w:rFonts w:ascii="Arial" w:cs="Arial" w:eastAsia="Arial" w:hAnsi="Arial"/>
                <w:sz w:val="12"/>
                <w:szCs w:val="12"/>
                <w:color w:val="auto"/>
                <w:w w:val="89"/>
              </w:rPr>
              <w:t>44</w:t>
            </w:r>
          </w:p>
        </w:tc>
        <w:tc>
          <w:tcPr>
            <w:tcW w:w="20" w:type="dxa"/>
            <w:vAlign w:val="bottom"/>
          </w:tcPr>
          <w:p>
            <w:pPr>
              <w:spacing w:after="0"/>
              <w:rPr>
                <w:sz w:val="11"/>
                <w:szCs w:val="11"/>
                <w:color w:val="auto"/>
              </w:rPr>
            </w:pPr>
          </w:p>
        </w:tc>
      </w:tr>
      <w:tr>
        <w:trPr>
          <w:trHeight w:val="153"/>
        </w:trPr>
        <w:tc>
          <w:tcPr>
            <w:tcW w:w="7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0220" w:type="dxa"/>
            <w:vAlign w:val="bottom"/>
            <w:gridSpan w:val="16"/>
          </w:tcPr>
          <w:p>
            <w:pPr>
              <w:spacing w:after="0"/>
              <w:rPr>
                <w:sz w:val="20"/>
                <w:szCs w:val="20"/>
                <w:color w:val="auto"/>
              </w:rPr>
            </w:pPr>
            <w:r>
              <w:rPr>
                <w:rFonts w:ascii="Arial" w:cs="Arial" w:eastAsia="Arial" w:hAnsi="Arial"/>
                <w:sz w:val="12"/>
                <w:szCs w:val="12"/>
                <w:color w:val="auto"/>
              </w:rPr>
              <w:t>PART II – OTHER INFORMATION</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7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1260" w:type="dxa"/>
            <w:vAlign w:val="bottom"/>
            <w:gridSpan w:val="2"/>
          </w:tcPr>
          <w:p>
            <w:pPr>
              <w:spacing w:after="0" w:line="126" w:lineRule="exact"/>
              <w:rPr>
                <w:sz w:val="20"/>
                <w:szCs w:val="20"/>
                <w:color w:val="auto"/>
              </w:rPr>
            </w:pPr>
            <w:r>
              <w:rPr>
                <w:rFonts w:ascii="Arial" w:cs="Arial" w:eastAsia="Arial" w:hAnsi="Arial"/>
                <w:sz w:val="12"/>
                <w:szCs w:val="12"/>
                <w:color w:val="auto"/>
              </w:rPr>
              <w:t>Item 1.</w:t>
            </w:r>
          </w:p>
        </w:tc>
        <w:tc>
          <w:tcPr>
            <w:tcW w:w="8960" w:type="dxa"/>
            <w:vAlign w:val="bottom"/>
            <w:gridSpan w:val="14"/>
          </w:tcPr>
          <w:p>
            <w:pPr>
              <w:spacing w:after="0" w:line="126" w:lineRule="exact"/>
              <w:rPr>
                <w:sz w:val="20"/>
                <w:szCs w:val="20"/>
                <w:color w:val="auto"/>
              </w:rPr>
            </w:pPr>
            <w:r>
              <w:rPr>
                <w:rFonts w:ascii="Arial" w:cs="Arial" w:eastAsia="Arial" w:hAnsi="Arial"/>
                <w:sz w:val="12"/>
                <w:szCs w:val="12"/>
                <w:color w:val="0000FF"/>
              </w:rPr>
              <w:t>Legal Proceedings</w:t>
            </w: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45</w:t>
            </w:r>
          </w:p>
        </w:tc>
        <w:tc>
          <w:tcPr>
            <w:tcW w:w="20" w:type="dxa"/>
            <w:vAlign w:val="bottom"/>
          </w:tcPr>
          <w:p>
            <w:pPr>
              <w:spacing w:after="0"/>
              <w:rPr>
                <w:sz w:val="11"/>
                <w:szCs w:val="11"/>
                <w:color w:val="auto"/>
              </w:rPr>
            </w:pPr>
          </w:p>
        </w:tc>
      </w:tr>
      <w:tr>
        <w:trPr>
          <w:trHeight w:val="133"/>
        </w:trPr>
        <w:tc>
          <w:tcPr>
            <w:tcW w:w="1260" w:type="dxa"/>
            <w:vAlign w:val="bottom"/>
            <w:tcBorders>
              <w:bottom w:val="single" w:sz="8" w:color="CCEEFF"/>
            </w:tcBorders>
            <w:gridSpan w:val="2"/>
            <w:shd w:val="clear" w:color="auto" w:fill="CCEEFF"/>
          </w:tcPr>
          <w:p>
            <w:pPr>
              <w:spacing w:after="0" w:line="126" w:lineRule="exact"/>
              <w:rPr>
                <w:sz w:val="20"/>
                <w:szCs w:val="20"/>
                <w:color w:val="auto"/>
              </w:rPr>
            </w:pPr>
            <w:r>
              <w:rPr>
                <w:rFonts w:ascii="Arial" w:cs="Arial" w:eastAsia="Arial" w:hAnsi="Arial"/>
                <w:sz w:val="12"/>
                <w:szCs w:val="12"/>
                <w:color w:val="auto"/>
              </w:rPr>
              <w:t>Item 1A.</w:t>
            </w:r>
          </w:p>
        </w:tc>
        <w:tc>
          <w:tcPr>
            <w:tcW w:w="600" w:type="dxa"/>
            <w:vAlign w:val="bottom"/>
            <w:tcBorders>
              <w:top w:val="single" w:sz="8" w:color="0000FF"/>
              <w:bottom w:val="single" w:sz="8" w:color="0000FF"/>
            </w:tcBorders>
            <w:gridSpan w:val="2"/>
            <w:shd w:val="clear" w:color="auto" w:fill="CCEEFF"/>
          </w:tcPr>
          <w:p>
            <w:pPr>
              <w:spacing w:after="0" w:line="126" w:lineRule="exact"/>
              <w:rPr>
                <w:sz w:val="20"/>
                <w:szCs w:val="20"/>
                <w:color w:val="auto"/>
              </w:rPr>
            </w:pPr>
            <w:r>
              <w:rPr>
                <w:rFonts w:ascii="Arial" w:cs="Arial" w:eastAsia="Arial" w:hAnsi="Arial"/>
                <w:sz w:val="12"/>
                <w:szCs w:val="12"/>
                <w:color w:val="0000FF"/>
                <w:w w:val="86"/>
              </w:rPr>
              <w:t>Risk Factors</w:t>
            </w:r>
          </w:p>
        </w:tc>
        <w:tc>
          <w:tcPr>
            <w:tcW w:w="280" w:type="dxa"/>
            <w:vAlign w:val="bottom"/>
            <w:tcBorders>
              <w:top w:val="single" w:sz="8" w:color="0000FF"/>
              <w:bottom w:val="single" w:sz="8" w:color="CCEEFF"/>
            </w:tcBorders>
            <w:shd w:val="clear" w:color="auto" w:fill="CCEEFF"/>
          </w:tcPr>
          <w:p>
            <w:pPr>
              <w:spacing w:after="0"/>
              <w:rPr>
                <w:sz w:val="11"/>
                <w:szCs w:val="11"/>
                <w:color w:val="auto"/>
              </w:rPr>
            </w:pPr>
          </w:p>
        </w:tc>
        <w:tc>
          <w:tcPr>
            <w:tcW w:w="8080" w:type="dxa"/>
            <w:vAlign w:val="bottom"/>
            <w:tcBorders>
              <w:bottom w:val="single" w:sz="8" w:color="CCEEFF"/>
            </w:tcBorders>
            <w:gridSpan w:val="11"/>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45</w:t>
            </w:r>
          </w:p>
        </w:tc>
        <w:tc>
          <w:tcPr>
            <w:tcW w:w="20" w:type="dxa"/>
            <w:vAlign w:val="bottom"/>
          </w:tcPr>
          <w:p>
            <w:pPr>
              <w:spacing w:after="0"/>
              <w:rPr>
                <w:sz w:val="11"/>
                <w:szCs w:val="11"/>
                <w:color w:val="auto"/>
              </w:rPr>
            </w:pPr>
          </w:p>
        </w:tc>
      </w:tr>
      <w:tr>
        <w:trPr>
          <w:trHeight w:val="133"/>
        </w:trPr>
        <w:tc>
          <w:tcPr>
            <w:tcW w:w="1260" w:type="dxa"/>
            <w:vAlign w:val="bottom"/>
            <w:gridSpan w:val="2"/>
          </w:tcPr>
          <w:p>
            <w:pPr>
              <w:spacing w:after="0" w:line="126" w:lineRule="exact"/>
              <w:rPr>
                <w:sz w:val="20"/>
                <w:szCs w:val="20"/>
                <w:color w:val="auto"/>
              </w:rPr>
            </w:pPr>
            <w:r>
              <w:rPr>
                <w:rFonts w:ascii="Arial" w:cs="Arial" w:eastAsia="Arial" w:hAnsi="Arial"/>
                <w:sz w:val="12"/>
                <w:szCs w:val="12"/>
                <w:color w:val="auto"/>
              </w:rPr>
              <w:t>Item 2.</w:t>
            </w:r>
          </w:p>
        </w:tc>
        <w:tc>
          <w:tcPr>
            <w:tcW w:w="2900" w:type="dxa"/>
            <w:vAlign w:val="bottom"/>
            <w:tcBorders>
              <w:bottom w:val="single" w:sz="8" w:color="0000FF"/>
            </w:tcBorders>
            <w:gridSpan w:val="7"/>
          </w:tcPr>
          <w:p>
            <w:pPr>
              <w:spacing w:after="0" w:line="126" w:lineRule="exact"/>
              <w:rPr>
                <w:sz w:val="20"/>
                <w:szCs w:val="20"/>
                <w:color w:val="auto"/>
              </w:rPr>
            </w:pPr>
            <w:r>
              <w:rPr>
                <w:rFonts w:ascii="Arial" w:cs="Arial" w:eastAsia="Arial" w:hAnsi="Arial"/>
                <w:sz w:val="12"/>
                <w:szCs w:val="12"/>
                <w:color w:val="0000FF"/>
                <w:w w:val="89"/>
              </w:rPr>
              <w:t>Unregistered Sales of Equity Securities and Use of Proceeds</w:t>
            </w:r>
          </w:p>
        </w:tc>
        <w:tc>
          <w:tcPr>
            <w:tcW w:w="6060" w:type="dxa"/>
            <w:vAlign w:val="bottom"/>
            <w:gridSpan w:val="7"/>
          </w:tcPr>
          <w:p>
            <w:pPr>
              <w:spacing w:after="0"/>
              <w:rPr>
                <w:sz w:val="11"/>
                <w:szCs w:val="11"/>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46</w:t>
            </w:r>
          </w:p>
        </w:tc>
        <w:tc>
          <w:tcPr>
            <w:tcW w:w="20" w:type="dxa"/>
            <w:vAlign w:val="bottom"/>
          </w:tcPr>
          <w:p>
            <w:pPr>
              <w:spacing w:after="0"/>
              <w:rPr>
                <w:sz w:val="11"/>
                <w:szCs w:val="11"/>
                <w:color w:val="auto"/>
              </w:rPr>
            </w:pPr>
          </w:p>
        </w:tc>
      </w:tr>
      <w:tr>
        <w:trPr>
          <w:trHeight w:val="133"/>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Item 3.</w:t>
            </w:r>
          </w:p>
        </w:tc>
        <w:tc>
          <w:tcPr>
            <w:tcW w:w="8960" w:type="dxa"/>
            <w:vAlign w:val="bottom"/>
            <w:gridSpan w:val="14"/>
            <w:shd w:val="clear" w:color="auto" w:fill="CCEEFF"/>
          </w:tcPr>
          <w:p>
            <w:pPr>
              <w:spacing w:after="0" w:line="126" w:lineRule="exact"/>
              <w:rPr>
                <w:sz w:val="20"/>
                <w:szCs w:val="20"/>
                <w:color w:val="auto"/>
              </w:rPr>
            </w:pPr>
            <w:r>
              <w:rPr>
                <w:rFonts w:ascii="Arial" w:cs="Arial" w:eastAsia="Arial" w:hAnsi="Arial"/>
                <w:sz w:val="12"/>
                <w:szCs w:val="12"/>
                <w:color w:val="0000FF"/>
              </w:rPr>
              <w:t>Defaults Upon Senior Securities</w:t>
            </w:r>
          </w:p>
        </w:tc>
        <w:tc>
          <w:tcPr>
            <w:tcW w:w="106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46</w:t>
            </w:r>
          </w:p>
        </w:tc>
        <w:tc>
          <w:tcPr>
            <w:tcW w:w="20" w:type="dxa"/>
            <w:vAlign w:val="bottom"/>
          </w:tcPr>
          <w:p>
            <w:pPr>
              <w:spacing w:after="0"/>
              <w:rPr>
                <w:sz w:val="11"/>
                <w:szCs w:val="11"/>
                <w:color w:val="auto"/>
              </w:rPr>
            </w:pPr>
          </w:p>
        </w:tc>
      </w:tr>
      <w:tr>
        <w:trPr>
          <w:trHeight w:val="133"/>
        </w:trPr>
        <w:tc>
          <w:tcPr>
            <w:tcW w:w="1260" w:type="dxa"/>
            <w:vAlign w:val="bottom"/>
            <w:tcBorders>
              <w:top w:val="single" w:sz="8" w:color="CCEEFF"/>
            </w:tcBorders>
            <w:gridSpan w:val="2"/>
          </w:tcPr>
          <w:p>
            <w:pPr>
              <w:spacing w:after="0" w:line="126"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FF"/>
              <w:bottom w:val="single" w:sz="8" w:color="0000FF"/>
            </w:tcBorders>
            <w:gridSpan w:val="4"/>
          </w:tcPr>
          <w:p>
            <w:pPr>
              <w:spacing w:after="0" w:line="126" w:lineRule="exact"/>
              <w:rPr>
                <w:sz w:val="20"/>
                <w:szCs w:val="20"/>
                <w:color w:val="auto"/>
              </w:rPr>
            </w:pPr>
            <w:r>
              <w:rPr>
                <w:rFonts w:ascii="Arial" w:cs="Arial" w:eastAsia="Arial" w:hAnsi="Arial"/>
                <w:sz w:val="12"/>
                <w:szCs w:val="12"/>
                <w:color w:val="0000FF"/>
                <w:w w:val="90"/>
              </w:rPr>
              <w:t>Mine Safety Disclosures</w:t>
            </w:r>
          </w:p>
        </w:tc>
        <w:tc>
          <w:tcPr>
            <w:tcW w:w="420" w:type="dxa"/>
            <w:vAlign w:val="bottom"/>
            <w:tcBorders>
              <w:top w:val="single" w:sz="8" w:color="0000FF"/>
            </w:tcBorders>
          </w:tcPr>
          <w:p>
            <w:pPr>
              <w:spacing w:after="0"/>
              <w:rPr>
                <w:sz w:val="11"/>
                <w:szCs w:val="11"/>
                <w:color w:val="auto"/>
              </w:rPr>
            </w:pPr>
          </w:p>
        </w:tc>
        <w:tc>
          <w:tcPr>
            <w:tcW w:w="7360" w:type="dxa"/>
            <w:vAlign w:val="bottom"/>
            <w:tcBorders>
              <w:top w:val="single" w:sz="8" w:color="CCEEFF"/>
            </w:tcBorders>
            <w:gridSpan w:val="9"/>
          </w:tcPr>
          <w:p>
            <w:pPr>
              <w:spacing w:after="0"/>
              <w:rPr>
                <w:sz w:val="11"/>
                <w:szCs w:val="11"/>
                <w:color w:val="auto"/>
              </w:rPr>
            </w:pPr>
          </w:p>
        </w:tc>
        <w:tc>
          <w:tcPr>
            <w:tcW w:w="1060" w:type="dxa"/>
            <w:vAlign w:val="bottom"/>
            <w:tcBorders>
              <w:top w:val="single" w:sz="8" w:color="CCEEFF"/>
            </w:tcBorders>
          </w:tcPr>
          <w:p>
            <w:pPr>
              <w:jc w:val="center"/>
              <w:spacing w:after="0" w:line="126" w:lineRule="exact"/>
              <w:rPr>
                <w:sz w:val="20"/>
                <w:szCs w:val="20"/>
                <w:color w:val="auto"/>
              </w:rPr>
            </w:pPr>
            <w:r>
              <w:rPr>
                <w:rFonts w:ascii="Arial" w:cs="Arial" w:eastAsia="Arial" w:hAnsi="Arial"/>
                <w:sz w:val="12"/>
                <w:szCs w:val="12"/>
                <w:color w:val="auto"/>
                <w:w w:val="89"/>
              </w:rPr>
              <w:t>46</w:t>
            </w:r>
          </w:p>
        </w:tc>
        <w:tc>
          <w:tcPr>
            <w:tcW w:w="20" w:type="dxa"/>
            <w:vAlign w:val="bottom"/>
          </w:tcPr>
          <w:p>
            <w:pPr>
              <w:spacing w:after="0"/>
              <w:rPr>
                <w:sz w:val="11"/>
                <w:szCs w:val="11"/>
                <w:color w:val="auto"/>
              </w:rPr>
            </w:pPr>
          </w:p>
        </w:tc>
      </w:tr>
      <w:tr>
        <w:trPr>
          <w:trHeight w:val="133"/>
        </w:trPr>
        <w:tc>
          <w:tcPr>
            <w:tcW w:w="1260" w:type="dxa"/>
            <w:vAlign w:val="bottom"/>
            <w:tcBorders>
              <w:bottom w:val="single" w:sz="8" w:color="CCEEFF"/>
            </w:tcBorders>
            <w:gridSpan w:val="2"/>
            <w:shd w:val="clear" w:color="auto" w:fill="CCEEFF"/>
          </w:tcPr>
          <w:p>
            <w:pPr>
              <w:spacing w:after="0" w:line="126" w:lineRule="exact"/>
              <w:rPr>
                <w:sz w:val="20"/>
                <w:szCs w:val="20"/>
                <w:color w:val="auto"/>
              </w:rPr>
            </w:pPr>
            <w:r>
              <w:rPr>
                <w:rFonts w:ascii="Arial" w:cs="Arial" w:eastAsia="Arial" w:hAnsi="Arial"/>
                <w:sz w:val="12"/>
                <w:szCs w:val="12"/>
                <w:color w:val="auto"/>
              </w:rPr>
              <w:t>Item 5.</w:t>
            </w:r>
          </w:p>
        </w:tc>
        <w:tc>
          <w:tcPr>
            <w:tcW w:w="880" w:type="dxa"/>
            <w:vAlign w:val="bottom"/>
            <w:tcBorders>
              <w:bottom w:val="single" w:sz="8" w:color="0000FF"/>
            </w:tcBorders>
            <w:gridSpan w:val="3"/>
            <w:shd w:val="clear" w:color="auto" w:fill="CCEEFF"/>
          </w:tcPr>
          <w:p>
            <w:pPr>
              <w:spacing w:after="0" w:line="126" w:lineRule="exact"/>
              <w:rPr>
                <w:sz w:val="20"/>
                <w:szCs w:val="20"/>
                <w:color w:val="auto"/>
              </w:rPr>
            </w:pPr>
            <w:r>
              <w:rPr>
                <w:rFonts w:ascii="Arial" w:cs="Arial" w:eastAsia="Arial" w:hAnsi="Arial"/>
                <w:sz w:val="12"/>
                <w:szCs w:val="12"/>
                <w:color w:val="0000FF"/>
                <w:w w:val="92"/>
              </w:rPr>
              <w:t>Other Information</w:t>
            </w:r>
          </w:p>
        </w:tc>
        <w:tc>
          <w:tcPr>
            <w:tcW w:w="8080" w:type="dxa"/>
            <w:vAlign w:val="bottom"/>
            <w:tcBorders>
              <w:bottom w:val="single" w:sz="8" w:color="CCEEFF"/>
            </w:tcBorders>
            <w:gridSpan w:val="11"/>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89"/>
              </w:rPr>
              <w:t>46</w:t>
            </w:r>
          </w:p>
        </w:tc>
        <w:tc>
          <w:tcPr>
            <w:tcW w:w="20" w:type="dxa"/>
            <w:vAlign w:val="bottom"/>
          </w:tcPr>
          <w:p>
            <w:pPr>
              <w:spacing w:after="0"/>
              <w:rPr>
                <w:sz w:val="11"/>
                <w:szCs w:val="11"/>
                <w:color w:val="auto"/>
              </w:rPr>
            </w:pPr>
          </w:p>
        </w:tc>
      </w:tr>
      <w:tr>
        <w:trPr>
          <w:trHeight w:val="133"/>
        </w:trPr>
        <w:tc>
          <w:tcPr>
            <w:tcW w:w="1260" w:type="dxa"/>
            <w:vAlign w:val="bottom"/>
            <w:gridSpan w:val="2"/>
          </w:tcPr>
          <w:p>
            <w:pPr>
              <w:spacing w:after="0" w:line="126" w:lineRule="exact"/>
              <w:rPr>
                <w:sz w:val="20"/>
                <w:szCs w:val="20"/>
                <w:color w:val="auto"/>
              </w:rPr>
            </w:pPr>
            <w:r>
              <w:rPr>
                <w:rFonts w:ascii="Arial" w:cs="Arial" w:eastAsia="Arial" w:hAnsi="Arial"/>
                <w:sz w:val="12"/>
                <w:szCs w:val="12"/>
                <w:color w:val="auto"/>
              </w:rPr>
              <w:t>Item 6.</w:t>
            </w:r>
          </w:p>
        </w:tc>
        <w:tc>
          <w:tcPr>
            <w:tcW w:w="8960" w:type="dxa"/>
            <w:vAlign w:val="bottom"/>
            <w:gridSpan w:val="14"/>
          </w:tcPr>
          <w:p>
            <w:pPr>
              <w:spacing w:after="0" w:line="126" w:lineRule="exact"/>
              <w:rPr>
                <w:sz w:val="20"/>
                <w:szCs w:val="20"/>
                <w:color w:val="auto"/>
              </w:rPr>
            </w:pPr>
            <w:r>
              <w:rPr>
                <w:rFonts w:ascii="Arial" w:cs="Arial" w:eastAsia="Arial" w:hAnsi="Arial"/>
                <w:sz w:val="12"/>
                <w:szCs w:val="12"/>
                <w:color w:val="0000FF"/>
              </w:rPr>
              <w:t>Exhibits</w:t>
            </w: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47</w:t>
            </w:r>
          </w:p>
        </w:tc>
        <w:tc>
          <w:tcPr>
            <w:tcW w:w="20" w:type="dxa"/>
            <w:vAlign w:val="bottom"/>
          </w:tcPr>
          <w:p>
            <w:pPr>
              <w:spacing w:after="0"/>
              <w:rPr>
                <w:sz w:val="11"/>
                <w:szCs w:val="11"/>
                <w:color w:val="auto"/>
              </w:rPr>
            </w:pPr>
          </w:p>
        </w:tc>
      </w:tr>
      <w:tr>
        <w:trPr>
          <w:trHeight w:val="153"/>
        </w:trPr>
        <w:tc>
          <w:tcPr>
            <w:tcW w:w="7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1260" w:type="dxa"/>
            <w:vAlign w:val="bottom"/>
            <w:gridSpan w:val="2"/>
          </w:tcPr>
          <w:p>
            <w:pPr>
              <w:spacing w:after="0" w:line="126" w:lineRule="exact"/>
              <w:rPr>
                <w:sz w:val="20"/>
                <w:szCs w:val="20"/>
                <w:color w:val="auto"/>
              </w:rPr>
            </w:pPr>
            <w:r>
              <w:rPr>
                <w:rFonts w:ascii="Arial" w:cs="Arial" w:eastAsia="Arial" w:hAnsi="Arial"/>
                <w:sz w:val="12"/>
                <w:szCs w:val="12"/>
                <w:color w:val="0000FF"/>
              </w:rPr>
              <w:t>SIGNATURES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color w:val="auto"/>
                <w:w w:val="89"/>
              </w:rPr>
              <w:t>48</w:t>
            </w:r>
          </w:p>
        </w:tc>
        <w:tc>
          <w:tcPr>
            <w:tcW w:w="20" w:type="dxa"/>
            <w:vAlign w:val="bottom"/>
          </w:tcPr>
          <w:p>
            <w:pPr>
              <w:spacing w:after="0"/>
              <w:rPr>
                <w:sz w:val="10"/>
                <w:szCs w:val="10"/>
                <w:color w:val="auto"/>
              </w:rPr>
            </w:pPr>
          </w:p>
        </w:tc>
      </w:tr>
      <w:tr>
        <w:trPr>
          <w:trHeight w:val="736"/>
        </w:trPr>
        <w:tc>
          <w:tcPr>
            <w:tcW w:w="7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220" w:type="dxa"/>
            <w:vAlign w:val="bottom"/>
            <w:gridSpan w:val="11"/>
          </w:tcPr>
          <w:p>
            <w:pPr>
              <w:ind w:left="4360"/>
              <w:spacing w:after="0"/>
              <w:rPr>
                <w:sz w:val="20"/>
                <w:szCs w:val="20"/>
                <w:color w:val="auto"/>
              </w:rPr>
            </w:pPr>
            <w:r>
              <w:rPr>
                <w:rFonts w:ascii="Arial" w:cs="Arial" w:eastAsia="Arial" w:hAnsi="Arial"/>
                <w:sz w:val="12"/>
                <w:szCs w:val="12"/>
                <w:color w:val="auto"/>
              </w:rPr>
              <w:t>2</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7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 w:name="page3"/>
    <w:bookmarkEnd w:id="2"/>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20" w:type="dxa"/>
            <w:vAlign w:val="bottom"/>
            <w:gridSpan w:val="2"/>
          </w:tcPr>
          <w:p>
            <w:pPr>
              <w:spacing w:after="0"/>
              <w:rPr>
                <w:sz w:val="20"/>
                <w:szCs w:val="20"/>
                <w:color w:val="auto"/>
              </w:rPr>
            </w:pPr>
            <w:r>
              <w:rPr>
                <w:rFonts w:ascii="Arial" w:cs="Arial" w:eastAsia="Arial" w:hAnsi="Arial"/>
                <w:sz w:val="12"/>
                <w:szCs w:val="12"/>
                <w:b w:val="1"/>
                <w:bCs w:val="1"/>
                <w:color w:val="auto"/>
              </w:rPr>
              <w:t>PART I – FINANCIAL INFORMATION</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06"/>
        </w:trPr>
        <w:tc>
          <w:tcPr>
            <w:tcW w:w="81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Item 1.  FINANCIAL STATEMENTS </w:t>
            </w:r>
            <w:r>
              <w:rPr>
                <w:rFonts w:ascii="Arial" w:cs="Arial" w:eastAsia="Arial" w:hAnsi="Arial"/>
                <w:sz w:val="12"/>
                <w:szCs w:val="12"/>
                <w:b w:val="1"/>
                <w:bCs w:val="1"/>
                <w:i w:val="1"/>
                <w:iCs w:val="1"/>
                <w:color w:val="auto"/>
              </w:rPr>
              <w:t>(Unaudited)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100" w:type="dxa"/>
            <w:vAlign w:val="bottom"/>
          </w:tcPr>
          <w:p>
            <w:pPr>
              <w:jc w:val="center"/>
              <w:ind w:left="3080"/>
              <w:spacing w:after="0"/>
              <w:rPr>
                <w:sz w:val="20"/>
                <w:szCs w:val="20"/>
                <w:color w:val="auto"/>
              </w:rPr>
            </w:pPr>
            <w:r>
              <w:rPr>
                <w:rFonts w:ascii="Arial" w:cs="Arial" w:eastAsia="Arial" w:hAnsi="Arial"/>
                <w:sz w:val="12"/>
                <w:szCs w:val="12"/>
                <w:b w:val="1"/>
                <w:bCs w:val="1"/>
                <w:color w:val="auto"/>
              </w:rPr>
              <w:t>AQUESTIVE THERAPEUTICS,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8100" w:type="dxa"/>
            <w:vAlign w:val="bottom"/>
          </w:tcPr>
          <w:p>
            <w:pPr>
              <w:jc w:val="center"/>
              <w:ind w:left="3080"/>
              <w:spacing w:after="0"/>
              <w:rPr>
                <w:sz w:val="20"/>
                <w:szCs w:val="20"/>
                <w:color w:val="auto"/>
              </w:rPr>
            </w:pPr>
            <w:r>
              <w:rPr>
                <w:rFonts w:ascii="Arial" w:cs="Arial" w:eastAsia="Arial" w:hAnsi="Arial"/>
                <w:sz w:val="12"/>
                <w:szCs w:val="12"/>
                <w:color w:val="auto"/>
                <w:w w:val="88"/>
              </w:rPr>
              <w:t>Condensed Consolidated Balance Sheets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00" w:type="dxa"/>
            <w:vAlign w:val="bottom"/>
          </w:tcPr>
          <w:p>
            <w:pPr>
              <w:jc w:val="center"/>
              <w:ind w:left="3080"/>
              <w:spacing w:after="0"/>
              <w:rPr>
                <w:sz w:val="20"/>
                <w:szCs w:val="20"/>
                <w:color w:val="auto"/>
              </w:rPr>
            </w:pPr>
            <w:r>
              <w:rPr>
                <w:rFonts w:ascii="Arial" w:cs="Arial" w:eastAsia="Arial" w:hAnsi="Arial"/>
                <w:sz w:val="12"/>
                <w:szCs w:val="12"/>
                <w:color w:val="auto"/>
                <w:w w:val="87"/>
              </w:rPr>
              <w:t>(In thousands, except share and per share amounts)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8100" w:type="dxa"/>
            <w:vAlign w:val="bottom"/>
          </w:tcPr>
          <w:p>
            <w:pPr>
              <w:jc w:val="center"/>
              <w:ind w:left="3100"/>
              <w:spacing w:after="0"/>
              <w:rPr>
                <w:sz w:val="20"/>
                <w:szCs w:val="20"/>
                <w:color w:val="auto"/>
              </w:rPr>
            </w:pPr>
            <w:r>
              <w:rPr>
                <w:rFonts w:ascii="Arial" w:cs="Arial" w:eastAsia="Arial" w:hAnsi="Arial"/>
                <w:sz w:val="12"/>
                <w:szCs w:val="12"/>
                <w:color w:val="auto"/>
                <w:w w:val="92"/>
              </w:rPr>
              <w:t>(Unaudited)</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1"/>
                <w:szCs w:val="11"/>
                <w:color w:val="auto"/>
              </w:rPr>
            </w:pPr>
          </w:p>
        </w:tc>
        <w:tc>
          <w:tcPr>
            <w:tcW w:w="1280" w:type="dxa"/>
            <w:vAlign w:val="bottom"/>
          </w:tcPr>
          <w:p>
            <w:pPr>
              <w:jc w:val="right"/>
              <w:ind w:right="340"/>
              <w:spacing w:after="0" w:line="135" w:lineRule="exact"/>
              <w:rPr>
                <w:sz w:val="20"/>
                <w:szCs w:val="20"/>
                <w:color w:val="auto"/>
              </w:rPr>
            </w:pPr>
            <w:r>
              <w:rPr>
                <w:rFonts w:ascii="Arial" w:cs="Arial" w:eastAsia="Arial" w:hAnsi="Arial"/>
                <w:sz w:val="12"/>
                <w:szCs w:val="12"/>
                <w:b w:val="1"/>
                <w:bCs w:val="1"/>
                <w:color w:val="auto"/>
              </w:rPr>
              <w:t>December 31,</w:t>
            </w:r>
          </w:p>
        </w:tc>
      </w:tr>
      <w:tr>
        <w:trPr>
          <w:trHeight w:val="157"/>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r>
      <w:tr>
        <w:trPr>
          <w:trHeight w:val="147"/>
        </w:trPr>
        <w:tc>
          <w:tcPr>
            <w:tcW w:w="20" w:type="dxa"/>
            <w:vAlign w:val="bottom"/>
          </w:tcPr>
          <w:p>
            <w:pPr>
              <w:spacing w:after="0"/>
              <w:rPr>
                <w:sz w:val="12"/>
                <w:szCs w:val="12"/>
                <w:color w:val="auto"/>
              </w:rPr>
            </w:pPr>
          </w:p>
        </w:tc>
        <w:tc>
          <w:tcPr>
            <w:tcW w:w="810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81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18,649</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28,024</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Trade and other receivables, net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10,737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12,120</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Inventories, net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4,038</w:t>
            </w:r>
          </w:p>
        </w:tc>
      </w:tr>
      <w:tr>
        <w:trPr>
          <w:trHeight w:val="153"/>
        </w:trPr>
        <w:tc>
          <w:tcPr>
            <w:tcW w:w="20" w:type="dxa"/>
            <w:vAlign w:val="bottom"/>
          </w:tcPr>
          <w:p>
            <w:pPr>
              <w:spacing w:after="0"/>
              <w:rPr>
                <w:sz w:val="13"/>
                <w:szCs w:val="13"/>
                <w:color w:val="auto"/>
              </w:rPr>
            </w:pPr>
          </w:p>
        </w:tc>
        <w:tc>
          <w:tcPr>
            <w:tcW w:w="81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1,976</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3,077</w:t>
            </w:r>
          </w:p>
        </w:tc>
      </w:tr>
      <w:tr>
        <w:trPr>
          <w:trHeight w:val="142"/>
        </w:trPr>
        <w:tc>
          <w:tcPr>
            <w:tcW w:w="20" w:type="dxa"/>
            <w:vAlign w:val="bottom"/>
          </w:tcPr>
          <w:p>
            <w:pPr>
              <w:spacing w:after="0"/>
              <w:rPr>
                <w:sz w:val="12"/>
                <w:szCs w:val="12"/>
                <w:color w:val="auto"/>
              </w:rPr>
            </w:pPr>
          </w:p>
        </w:tc>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38,087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47,259</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Property and equipment, net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4,284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5,055</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Right-of-use assets, net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2,725</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Intangible assets, net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1,487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non-current assets</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5,893</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6,903</w:t>
            </w:r>
          </w:p>
        </w:tc>
      </w:tr>
      <w:tr>
        <w:trPr>
          <w:trHeight w:val="158"/>
        </w:trPr>
        <w:tc>
          <w:tcPr>
            <w:tcW w:w="20" w:type="dxa"/>
            <w:vAlign w:val="bottom"/>
          </w:tcPr>
          <w:p>
            <w:pPr>
              <w:spacing w:after="0"/>
              <w:rPr>
                <w:sz w:val="13"/>
                <w:szCs w:val="13"/>
                <w:color w:val="auto"/>
              </w:rPr>
            </w:pPr>
          </w:p>
        </w:tc>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51,845</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61,993</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810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deficit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11,072</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8,314</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8,736</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Lease liabilities, current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846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899</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revenue, current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Liability related to the sale of future revenue, current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1,910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1,225</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payable, current</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14,225</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2,025</w:t>
            </w:r>
          </w:p>
        </w:tc>
      </w:tr>
      <w:tr>
        <w:trPr>
          <w:trHeight w:val="142"/>
        </w:trPr>
        <w:tc>
          <w:tcPr>
            <w:tcW w:w="20" w:type="dxa"/>
            <w:vAlign w:val="bottom"/>
          </w:tcPr>
          <w:p>
            <w:pPr>
              <w:spacing w:after="0"/>
              <w:rPr>
                <w:sz w:val="12"/>
                <w:szCs w:val="12"/>
                <w:color w:val="auto"/>
              </w:rPr>
            </w:pPr>
          </w:p>
        </w:tc>
        <w:tc>
          <w:tcPr>
            <w:tcW w:w="8100" w:type="dxa"/>
            <w:vAlign w:val="bottom"/>
          </w:tcPr>
          <w:p>
            <w:pPr>
              <w:ind w:left="240"/>
              <w:spacing w:after="0"/>
              <w:rPr>
                <w:sz w:val="20"/>
                <w:szCs w:val="20"/>
                <w:color w:val="auto"/>
              </w:rPr>
            </w:pPr>
            <w:r>
              <w:rPr>
                <w:rFonts w:ascii="Arial" w:cs="Arial" w:eastAsia="Arial" w:hAnsi="Arial"/>
                <w:sz w:val="12"/>
                <w:szCs w:val="12"/>
                <w:color w:val="auto"/>
              </w:rPr>
              <w:t>Total current liabilities</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36,560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21,964</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payable, net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38,675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51,551</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Liability related to the sale of future revenue, net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63,308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59,059</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Lease liabilities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1,946</w:t>
            </w:r>
          </w:p>
        </w:tc>
      </w:tr>
      <w:tr>
        <w:trPr>
          <w:trHeight w:val="153"/>
        </w:trPr>
        <w:tc>
          <w:tcPr>
            <w:tcW w:w="20" w:type="dxa"/>
            <w:vAlign w:val="bottom"/>
          </w:tcPr>
          <w:p>
            <w:pPr>
              <w:spacing w:after="0"/>
              <w:rPr>
                <w:sz w:val="13"/>
                <w:szCs w:val="13"/>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Deferred revenue</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17,622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7,122</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non-current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2,159</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2,485</w:t>
            </w: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159,664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144,127</w:t>
            </w:r>
          </w:p>
        </w:tc>
      </w:tr>
      <w:tr>
        <w:trPr>
          <w:trHeight w:val="133"/>
        </w:trPr>
        <w:tc>
          <w:tcPr>
            <w:tcW w:w="20" w:type="dxa"/>
            <w:vAlign w:val="bottom"/>
          </w:tcPr>
          <w:p>
            <w:pPr>
              <w:spacing w:after="0"/>
              <w:rPr>
                <w:sz w:val="11"/>
                <w:szCs w:val="11"/>
                <w:color w:val="auto"/>
              </w:rPr>
            </w:pPr>
          </w:p>
        </w:tc>
        <w:tc>
          <w:tcPr>
            <w:tcW w:w="810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b w:val="1"/>
                <w:bCs w:val="1"/>
                <w:color w:val="auto"/>
              </w:rPr>
              <w:t>Contingencies (Note 19)</w:t>
            </w: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deficit: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8100" w:type="dxa"/>
            <w:vAlign w:val="bottom"/>
          </w:tcPr>
          <w:p>
            <w:pPr>
              <w:ind w:left="100"/>
              <w:spacing w:after="0" w:line="117" w:lineRule="exact"/>
              <w:rPr>
                <w:sz w:val="20"/>
                <w:szCs w:val="20"/>
                <w:color w:val="auto"/>
              </w:rPr>
            </w:pPr>
            <w:r>
              <w:rPr>
                <w:rFonts w:ascii="Arial" w:cs="Arial" w:eastAsia="Arial" w:hAnsi="Arial"/>
                <w:sz w:val="12"/>
                <w:szCs w:val="12"/>
                <w:color w:val="auto"/>
                <w:w w:val="89"/>
              </w:rPr>
              <w:t>Common stock, $0.001 par value. Authorized 250,000,000 shares; 53,852,126 and 41,228,736 shares issued and outstanding at September 30, 2022 and December 31,</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8100" w:type="dxa"/>
            <w:vAlign w:val="bottom"/>
          </w:tcPr>
          <w:p>
            <w:pPr>
              <w:ind w:left="100"/>
              <w:spacing w:after="0"/>
              <w:rPr>
                <w:sz w:val="20"/>
                <w:szCs w:val="20"/>
                <w:color w:val="auto"/>
              </w:rPr>
            </w:pPr>
            <w:r>
              <w:rPr>
                <w:rFonts w:ascii="Arial" w:cs="Arial" w:eastAsia="Arial" w:hAnsi="Arial"/>
                <w:sz w:val="12"/>
                <w:szCs w:val="12"/>
                <w:color w:val="auto"/>
              </w:rPr>
              <w:t>2021, respectively</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20" w:type="dxa"/>
            <w:vAlign w:val="bottom"/>
          </w:tcPr>
          <w:p>
            <w:pPr>
              <w:spacing w:after="0"/>
              <w:rPr>
                <w:sz w:val="13"/>
                <w:szCs w:val="13"/>
                <w:color w:val="auto"/>
              </w:rPr>
            </w:pPr>
          </w:p>
        </w:tc>
        <w:tc>
          <w:tcPr>
            <w:tcW w:w="8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190,982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174,621</w:t>
            </w:r>
          </w:p>
        </w:tc>
      </w:tr>
      <w:tr>
        <w:trPr>
          <w:trHeight w:val="153"/>
        </w:trPr>
        <w:tc>
          <w:tcPr>
            <w:tcW w:w="20" w:type="dxa"/>
            <w:vAlign w:val="bottom"/>
          </w:tcPr>
          <w:p>
            <w:pPr>
              <w:spacing w:after="0"/>
              <w:rPr>
                <w:sz w:val="13"/>
                <w:szCs w:val="13"/>
                <w:color w:val="auto"/>
              </w:rPr>
            </w:pPr>
          </w:p>
        </w:tc>
        <w:tc>
          <w:tcPr>
            <w:tcW w:w="81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Accumulated deficit</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(298,855)</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(256,796)</w:t>
            </w:r>
          </w:p>
        </w:tc>
      </w:tr>
      <w:tr>
        <w:trPr>
          <w:trHeight w:val="142"/>
        </w:trPr>
        <w:tc>
          <w:tcPr>
            <w:tcW w:w="20" w:type="dxa"/>
            <w:vAlign w:val="bottom"/>
          </w:tcPr>
          <w:p>
            <w:pPr>
              <w:spacing w:after="0"/>
              <w:rPr>
                <w:sz w:val="12"/>
                <w:szCs w:val="12"/>
                <w:color w:val="auto"/>
              </w:rPr>
            </w:pPr>
          </w:p>
        </w:tc>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stockholders’ deficit</w:t>
            </w:r>
          </w:p>
        </w:tc>
        <w:tc>
          <w:tcPr>
            <w:tcW w:w="2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(107,819)</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(82,134)</w:t>
            </w:r>
          </w:p>
        </w:tc>
      </w:tr>
      <w:tr>
        <w:trPr>
          <w:trHeight w:val="142"/>
        </w:trPr>
        <w:tc>
          <w:tcPr>
            <w:tcW w:w="20" w:type="dxa"/>
            <w:vAlign w:val="bottom"/>
          </w:tcPr>
          <w:p>
            <w:pPr>
              <w:spacing w:after="0"/>
              <w:rPr>
                <w:sz w:val="12"/>
                <w:szCs w:val="12"/>
                <w:color w:val="auto"/>
              </w:rPr>
            </w:pPr>
          </w:p>
        </w:tc>
        <w:tc>
          <w:tcPr>
            <w:tcW w:w="8100" w:type="dxa"/>
            <w:vAlign w:val="bottom"/>
          </w:tcPr>
          <w:p>
            <w:pPr>
              <w:ind w:left="240"/>
              <w:spacing w:after="0"/>
              <w:rPr>
                <w:sz w:val="20"/>
                <w:szCs w:val="20"/>
                <w:color w:val="auto"/>
              </w:rPr>
            </w:pPr>
            <w:r>
              <w:rPr>
                <w:rFonts w:ascii="Arial" w:cs="Arial" w:eastAsia="Arial" w:hAnsi="Arial"/>
                <w:sz w:val="12"/>
                <w:szCs w:val="12"/>
                <w:color w:val="auto"/>
              </w:rPr>
              <w:t>Total liabilities and stockholders’ deficit</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51,845</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61,993</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 w:name="page4"/>
    <w:bookmarkEnd w:id="3"/>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 except share and per share data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5"/>
          </w:tcPr>
          <w:p>
            <w:pPr>
              <w:ind w:left="44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60" w:type="dxa"/>
            <w:vAlign w:val="bottom"/>
          </w:tcPr>
          <w:p>
            <w:pPr>
              <w:spacing w:after="0"/>
              <w:rPr>
                <w:sz w:val="12"/>
                <w:szCs w:val="12"/>
                <w:color w:val="auto"/>
              </w:rPr>
            </w:pPr>
          </w:p>
        </w:tc>
      </w:tr>
      <w:tr>
        <w:trPr>
          <w:trHeight w:val="159"/>
        </w:trPr>
        <w:tc>
          <w:tcPr>
            <w:tcW w:w="6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3"/>
                <w:szCs w:val="13"/>
                <w:color w:val="auto"/>
              </w:rPr>
            </w:pPr>
          </w:p>
        </w:tc>
      </w:tr>
      <w:tr>
        <w:trPr>
          <w:trHeight w:val="145"/>
        </w:trPr>
        <w:tc>
          <w:tcPr>
            <w:tcW w:w="6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w w:val="89"/>
              </w:rPr>
              <w:t>2021</w:t>
            </w:r>
          </w:p>
        </w:tc>
      </w:tr>
      <w:tr>
        <w:trPr>
          <w:trHeight w:val="142"/>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13,287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36,998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39,754</w:t>
            </w:r>
          </w:p>
        </w:tc>
      </w:tr>
      <w:tr>
        <w:trPr>
          <w:trHeight w:val="153"/>
        </w:trPr>
        <w:tc>
          <w:tcPr>
            <w:tcW w:w="6120" w:type="dxa"/>
            <w:vAlign w:val="bottom"/>
          </w:tcPr>
          <w:p>
            <w:pPr>
              <w:spacing w:after="0"/>
              <w:rPr>
                <w:sz w:val="20"/>
                <w:szCs w:val="20"/>
                <w:color w:val="auto"/>
              </w:rPr>
            </w:pPr>
            <w:r>
              <w:rPr>
                <w:rFonts w:ascii="Arial" w:cs="Arial" w:eastAsia="Arial" w:hAnsi="Arial"/>
                <w:sz w:val="12"/>
                <w:szCs w:val="12"/>
                <w:color w:val="auto"/>
              </w:rPr>
              <w:t>Costs and expenses: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Manufacture and supply</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11,623</w:t>
            </w:r>
          </w:p>
        </w:tc>
      </w:tr>
      <w:tr>
        <w:trPr>
          <w:trHeight w:val="153"/>
        </w:trPr>
        <w:tc>
          <w:tcPr>
            <w:tcW w:w="612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3,232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13,203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12,647</w:t>
            </w:r>
          </w:p>
        </w:tc>
      </w:tr>
      <w:tr>
        <w:trPr>
          <w:trHeight w:val="153"/>
        </w:trPr>
        <w:tc>
          <w:tcPr>
            <w:tcW w:w="6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12,459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12,129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41,067</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38,494</w:t>
            </w:r>
          </w:p>
        </w:tc>
      </w:tr>
      <w:tr>
        <w:trPr>
          <w:trHeight w:val="142"/>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Total costs and expenses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20,316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21,255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68,351</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62,764</w:t>
            </w:r>
          </w:p>
        </w:tc>
      </w:tr>
      <w:tr>
        <w:trPr>
          <w:trHeight w:val="142"/>
        </w:trPr>
        <w:tc>
          <w:tcPr>
            <w:tcW w:w="6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Loss from operations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(31,353)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(23,010)</w:t>
            </w:r>
          </w:p>
        </w:tc>
      </w:tr>
      <w:tr>
        <w:trPr>
          <w:trHeight w:val="153"/>
        </w:trPr>
        <w:tc>
          <w:tcPr>
            <w:tcW w:w="6120" w:type="dxa"/>
            <w:vAlign w:val="bottom"/>
          </w:tcPr>
          <w:p>
            <w:pPr>
              <w:spacing w:after="0"/>
              <w:rPr>
                <w:sz w:val="20"/>
                <w:szCs w:val="20"/>
                <w:color w:val="auto"/>
              </w:rPr>
            </w:pPr>
            <w:r>
              <w:rPr>
                <w:rFonts w:ascii="Arial" w:cs="Arial" w:eastAsia="Arial" w:hAnsi="Arial"/>
                <w:sz w:val="12"/>
                <w:szCs w:val="12"/>
                <w:color w:val="auto"/>
              </w:rPr>
              <w:t>Other income/ (expenses):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(8,305)</w:t>
            </w:r>
          </w:p>
        </w:tc>
      </w:tr>
      <w:tr>
        <w:trPr>
          <w:trHeight w:val="153"/>
        </w:trPr>
        <w:tc>
          <w:tcPr>
            <w:tcW w:w="6120" w:type="dxa"/>
            <w:vAlign w:val="bottom"/>
          </w:tcPr>
          <w:p>
            <w:pPr>
              <w:ind w:left="80"/>
              <w:spacing w:after="0"/>
              <w:rPr>
                <w:sz w:val="20"/>
                <w:szCs w:val="20"/>
                <w:color w:val="auto"/>
              </w:rPr>
            </w:pPr>
            <w:r>
              <w:rPr>
                <w:rFonts w:ascii="Arial" w:cs="Arial" w:eastAsia="Arial" w:hAnsi="Arial"/>
                <w:sz w:val="12"/>
                <w:szCs w:val="12"/>
                <w:color w:val="auto"/>
              </w:rPr>
              <w:t>Interest expense related to the sale of future revenue, net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(2,039)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(5,837)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(10,567)</w:t>
            </w:r>
          </w:p>
        </w:tc>
      </w:tr>
      <w:tr>
        <w:trPr>
          <w:trHeight w:val="153"/>
        </w:trPr>
        <w:tc>
          <w:tcPr>
            <w:tcW w:w="6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and other income (expense), net</w:t>
            </w: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w:t>
            </w:r>
          </w:p>
        </w:tc>
      </w:tr>
      <w:tr>
        <w:trPr>
          <w:trHeight w:val="142"/>
        </w:trPr>
        <w:tc>
          <w:tcPr>
            <w:tcW w:w="6120" w:type="dxa"/>
            <w:vAlign w:val="bottom"/>
          </w:tcPr>
          <w:p>
            <w:pPr>
              <w:spacing w:after="0"/>
              <w:rPr>
                <w:sz w:val="20"/>
                <w:szCs w:val="20"/>
                <w:color w:val="auto"/>
              </w:rPr>
            </w:pPr>
            <w:r>
              <w:rPr>
                <w:rFonts w:ascii="Arial" w:cs="Arial" w:eastAsia="Arial" w:hAnsi="Arial"/>
                <w:sz w:val="12"/>
                <w:szCs w:val="12"/>
                <w:color w:val="auto"/>
              </w:rPr>
              <w:t>Net loss before income taxes</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(12,536)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(14,555)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(42,058)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(41,594)</w:t>
            </w:r>
          </w:p>
        </w:tc>
      </w:tr>
      <w:tr>
        <w:trPr>
          <w:trHeight w:val="153"/>
        </w:trPr>
        <w:tc>
          <w:tcPr>
            <w:tcW w:w="6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taxes</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(12,536)</w:t>
            </w: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(14,555)</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(42,058)</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(41,594)</w:t>
            </w:r>
          </w:p>
        </w:tc>
      </w:tr>
      <w:tr>
        <w:trPr>
          <w:trHeight w:val="158"/>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(12,536)</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(14,555)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(42,058)</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(41,594)</w:t>
            </w:r>
          </w:p>
        </w:tc>
      </w:tr>
      <w:tr>
        <w:trPr>
          <w:trHeight w:val="153"/>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9"/>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per share - basic and diluted</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w:t>
            </w:r>
          </w:p>
        </w:tc>
      </w:tr>
      <w:tr>
        <w:trPr>
          <w:trHeight w:val="153"/>
        </w:trPr>
        <w:tc>
          <w:tcPr>
            <w:tcW w:w="6120" w:type="dxa"/>
            <w:vAlign w:val="bottom"/>
          </w:tcPr>
          <w:p>
            <w:pPr>
              <w:spacing w:after="0"/>
              <w:rPr>
                <w:sz w:val="20"/>
                <w:szCs w:val="20"/>
                <w:color w:val="auto"/>
              </w:rPr>
            </w:pPr>
            <w:r>
              <w:rPr>
                <w:rFonts w:ascii="Arial" w:cs="Arial" w:eastAsia="Arial" w:hAnsi="Arial"/>
                <w:sz w:val="12"/>
                <w:szCs w:val="12"/>
                <w:color w:val="auto"/>
              </w:rPr>
              <w:t>Weighted-average number of common shares outstanding - basic and diluted</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53,424,922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39,224,863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46,828,218</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37,297,892</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 w:name="page5"/>
    <w:bookmarkEnd w:id="4"/>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Condensed Consolidated Statements of Changes in Stockholders’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Additional</w:t>
            </w:r>
          </w:p>
        </w:tc>
        <w:tc>
          <w:tcPr>
            <w:tcW w:w="24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12"/>
                <w:szCs w:val="12"/>
                <w:color w:val="auto"/>
              </w:rPr>
            </w:pPr>
          </w:p>
        </w:tc>
        <w:tc>
          <w:tcPr>
            <w:tcW w:w="1220" w:type="dxa"/>
            <w:vAlign w:val="bottom"/>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w w:val="94"/>
              </w:rPr>
              <w:t>Paid-in</w:t>
            </w:r>
          </w:p>
        </w:tc>
        <w:tc>
          <w:tcPr>
            <w:tcW w:w="2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180"/>
              <w:spacing w:after="0" w:line="117"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Capital</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Pr>
          <w:p>
            <w:pPr>
              <w:spacing w:after="0"/>
              <w:rPr>
                <w:sz w:val="14"/>
                <w:szCs w:val="14"/>
                <w:color w:val="auto"/>
              </w:rPr>
            </w:pPr>
          </w:p>
        </w:tc>
        <w:tc>
          <w:tcPr>
            <w:tcW w:w="1220" w:type="dxa"/>
            <w:vAlign w:val="bottom"/>
          </w:tcPr>
          <w:p>
            <w:pPr>
              <w:jc w:val="center"/>
              <w:ind w:right="160"/>
              <w:spacing w:after="0"/>
              <w:rPr>
                <w:sz w:val="20"/>
                <w:szCs w:val="20"/>
                <w:color w:val="auto"/>
              </w:rPr>
            </w:pPr>
            <w:r>
              <w:rPr>
                <w:rFonts w:ascii="Arial" w:cs="Arial" w:eastAsia="Arial" w:hAnsi="Arial"/>
                <w:sz w:val="12"/>
                <w:szCs w:val="12"/>
                <w:b w:val="1"/>
                <w:bCs w:val="1"/>
                <w:color w:val="auto"/>
                <w:w w:val="93"/>
              </w:rPr>
              <w:t>Equity/Deficit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41,228,736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174,621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(256,796)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(82,134)</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2"/>
                <w:szCs w:val="12"/>
                <w:color w:val="auto"/>
              </w:rPr>
              <w:t>391,652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913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(13,220)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(13,220)</w:t>
            </w:r>
          </w:p>
        </w:tc>
        <w:tc>
          <w:tcPr>
            <w:tcW w:w="0" w:type="dxa"/>
            <w:vAlign w:val="bottom"/>
          </w:tcPr>
          <w:p>
            <w:pPr>
              <w:spacing w:after="0"/>
              <w:rPr>
                <w:sz w:val="1"/>
                <w:szCs w:val="1"/>
                <w:color w:val="auto"/>
              </w:rPr>
            </w:pPr>
          </w:p>
        </w:tc>
      </w:tr>
      <w:tr>
        <w:trPr>
          <w:trHeight w:val="142"/>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March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41,620,388</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176,833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(270,017)</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(93,143)</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Fair value of warrants issued</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5,874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5,874</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under private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6,686,491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4,629</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Costs of common stock issued under private equity offering</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(824)</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upon warrant exercises</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2"/>
                <w:szCs w:val="12"/>
                <w:color w:val="auto"/>
              </w:rPr>
              <w:t>1,013,226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1,251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1,252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Shares issued under employee stock purchase plan</w:t>
            </w:r>
          </w:p>
        </w:tc>
        <w:tc>
          <w:tcPr>
            <w:tcW w:w="1200" w:type="dxa"/>
            <w:vAlign w:val="bottom"/>
          </w:tcPr>
          <w:p>
            <w:pPr>
              <w:jc w:val="right"/>
              <w:spacing w:after="0"/>
              <w:rPr>
                <w:sz w:val="20"/>
                <w:szCs w:val="20"/>
                <w:color w:val="auto"/>
              </w:rPr>
            </w:pPr>
            <w:r>
              <w:rPr>
                <w:rFonts w:ascii="Arial" w:cs="Arial" w:eastAsia="Arial" w:hAnsi="Arial"/>
                <w:sz w:val="12"/>
                <w:szCs w:val="12"/>
                <w:color w:val="auto"/>
              </w:rPr>
              <w:t>23,884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2,219</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Other</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(16,302)</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2"/>
                <w:szCs w:val="12"/>
                <w:color w:val="auto"/>
              </w:rPr>
              <w:t>Balance at June 30, 2022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53,343,989</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189,908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(286,318)</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(96,357)</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501,472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Vested restricted stock units</w:t>
            </w:r>
          </w:p>
        </w:tc>
        <w:tc>
          <w:tcPr>
            <w:tcW w:w="1200" w:type="dxa"/>
            <w:vAlign w:val="bottom"/>
          </w:tcPr>
          <w:p>
            <w:pPr>
              <w:jc w:val="right"/>
              <w:spacing w:after="0"/>
              <w:rPr>
                <w:sz w:val="20"/>
                <w:szCs w:val="20"/>
                <w:color w:val="auto"/>
              </w:rPr>
            </w:pPr>
            <w:r>
              <w:rPr>
                <w:rFonts w:ascii="Arial" w:cs="Arial" w:eastAsia="Arial" w:hAnsi="Arial"/>
                <w:sz w:val="12"/>
                <w:szCs w:val="12"/>
                <w:color w:val="auto"/>
              </w:rPr>
              <w:t>6,665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(12,536)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(12,536)</w:t>
            </w:r>
          </w:p>
        </w:tc>
        <w:tc>
          <w:tcPr>
            <w:tcW w:w="0" w:type="dxa"/>
            <w:vAlign w:val="bottom"/>
          </w:tcPr>
          <w:p>
            <w:pPr>
              <w:spacing w:after="0"/>
              <w:rPr>
                <w:sz w:val="1"/>
                <w:szCs w:val="1"/>
                <w:color w:val="auto"/>
              </w:rPr>
            </w:pPr>
          </w:p>
        </w:tc>
      </w:tr>
      <w:tr>
        <w:trPr>
          <w:trHeight w:val="158"/>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53,852,126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190,982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(298,855)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(107,819)</w:t>
            </w:r>
          </w:p>
        </w:tc>
        <w:tc>
          <w:tcPr>
            <w:tcW w:w="0" w:type="dxa"/>
            <w:vAlign w:val="bottom"/>
          </w:tcPr>
          <w:p>
            <w:pPr>
              <w:spacing w:after="0"/>
              <w:rPr>
                <w:sz w:val="1"/>
                <w:szCs w:val="1"/>
                <w:color w:val="auto"/>
              </w:rPr>
            </w:pPr>
          </w:p>
        </w:tc>
      </w:tr>
      <w:tr>
        <w:trPr>
          <w:trHeight w:val="720"/>
        </w:trPr>
        <w:tc>
          <w:tcPr>
            <w:tcW w:w="460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6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31,2020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34,569,254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137,725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(186,257)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(48,497)</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Common Stock issued under public equity offering</w:t>
            </w:r>
          </w:p>
        </w:tc>
        <w:tc>
          <w:tcPr>
            <w:tcW w:w="1220" w:type="dxa"/>
            <w:vAlign w:val="bottom"/>
          </w:tcPr>
          <w:p>
            <w:pPr>
              <w:jc w:val="right"/>
              <w:spacing w:after="0"/>
              <w:rPr>
                <w:sz w:val="20"/>
                <w:szCs w:val="20"/>
                <w:color w:val="auto"/>
              </w:rPr>
            </w:pPr>
            <w:r>
              <w:rPr>
                <w:rFonts w:ascii="Arial" w:cs="Arial" w:eastAsia="Arial" w:hAnsi="Arial"/>
                <w:sz w:val="12"/>
                <w:szCs w:val="12"/>
                <w:color w:val="auto"/>
              </w:rPr>
              <w:t>1,672,104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10,196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10,197</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1,507</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1,507</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(14,672)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(14,672)</w:t>
            </w:r>
          </w:p>
        </w:tc>
      </w:tr>
      <w:tr>
        <w:trPr>
          <w:trHeight w:val="142"/>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36,241,358</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149,095</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(200,929)</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(51,798)</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Common Stock issued under public equity offering</w:t>
            </w:r>
          </w:p>
        </w:tc>
        <w:tc>
          <w:tcPr>
            <w:tcW w:w="1220" w:type="dxa"/>
            <w:vAlign w:val="bottom"/>
          </w:tcPr>
          <w:p>
            <w:pPr>
              <w:jc w:val="right"/>
              <w:spacing w:after="0"/>
              <w:rPr>
                <w:sz w:val="20"/>
                <w:szCs w:val="20"/>
                <w:color w:val="auto"/>
              </w:rPr>
            </w:pPr>
            <w:r>
              <w:rPr>
                <w:rFonts w:ascii="Arial" w:cs="Arial" w:eastAsia="Arial" w:hAnsi="Arial"/>
                <w:sz w:val="12"/>
                <w:szCs w:val="12"/>
                <w:color w:val="auto"/>
              </w:rPr>
              <w:t>2,304,949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9,238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9,241</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Shares issued under employee stock purchase plan</w:t>
            </w:r>
          </w:p>
        </w:tc>
        <w:tc>
          <w:tcPr>
            <w:tcW w:w="1220" w:type="dxa"/>
            <w:vAlign w:val="bottom"/>
          </w:tcPr>
          <w:p>
            <w:pPr>
              <w:jc w:val="right"/>
              <w:spacing w:after="0"/>
              <w:rPr>
                <w:sz w:val="20"/>
                <w:szCs w:val="20"/>
                <w:color w:val="auto"/>
              </w:rPr>
            </w:pPr>
            <w:r>
              <w:rPr>
                <w:rFonts w:ascii="Arial" w:cs="Arial" w:eastAsia="Arial" w:hAnsi="Arial"/>
                <w:sz w:val="12"/>
                <w:szCs w:val="12"/>
                <w:color w:val="auto"/>
              </w:rPr>
              <w:t>19,270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Vested restricted stock units</w:t>
            </w:r>
          </w:p>
        </w:tc>
        <w:tc>
          <w:tcPr>
            <w:tcW w:w="1220" w:type="dxa"/>
            <w:vAlign w:val="bottom"/>
          </w:tcPr>
          <w:p>
            <w:pPr>
              <w:jc w:val="right"/>
              <w:spacing w:after="0"/>
              <w:rPr>
                <w:sz w:val="20"/>
                <w:szCs w:val="20"/>
                <w:color w:val="auto"/>
              </w:rPr>
            </w:pPr>
            <w:r>
              <w:rPr>
                <w:rFonts w:ascii="Arial" w:cs="Arial" w:eastAsia="Arial" w:hAnsi="Arial"/>
                <w:sz w:val="12"/>
                <w:szCs w:val="12"/>
                <w:color w:val="auto"/>
              </w:rPr>
              <w:t>2,665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(12,367)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(12,367)</w:t>
            </w:r>
          </w:p>
        </w:tc>
      </w:tr>
      <w:tr>
        <w:trPr>
          <w:trHeight w:val="142"/>
        </w:trPr>
        <w:tc>
          <w:tcPr>
            <w:tcW w:w="446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38,568,242</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159,488</w:t>
            </w: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(213,296)</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(53,769)</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Common Stock issued under public equity offering</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1,509,818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6,222</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Costs of common stock issued under public equity offering</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Vested restricted stock units</w:t>
            </w:r>
          </w:p>
        </w:tc>
        <w:tc>
          <w:tcPr>
            <w:tcW w:w="1220" w:type="dxa"/>
            <w:vAlign w:val="bottom"/>
          </w:tcPr>
          <w:p>
            <w:pPr>
              <w:jc w:val="right"/>
              <w:spacing w:after="0"/>
              <w:rPr>
                <w:sz w:val="20"/>
                <w:szCs w:val="20"/>
                <w:color w:val="auto"/>
              </w:rPr>
            </w:pPr>
            <w:r>
              <w:rPr>
                <w:rFonts w:ascii="Arial" w:cs="Arial" w:eastAsia="Arial" w:hAnsi="Arial"/>
                <w:sz w:val="12"/>
                <w:szCs w:val="12"/>
                <w:color w:val="auto"/>
              </w:rPr>
              <w:t>5,185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(14,555)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(14,555)</w:t>
            </w:r>
          </w:p>
        </w:tc>
      </w:tr>
      <w:tr>
        <w:trPr>
          <w:trHeight w:val="158"/>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September 30,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40,083,245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167,466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(60,345)</w:t>
            </w:r>
          </w:p>
        </w:tc>
      </w:tr>
    </w:tbl>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6" w:name="page7"/>
    <w:bookmarkEnd w:id="6"/>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AQUESTIVE THERAPEUTICS,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(Unaudited)</w:t>
      </w:r>
    </w:p>
    <w:p>
      <w:pPr>
        <w:spacing w:after="0" w:line="238" w:lineRule="exact"/>
        <w:rPr>
          <w:sz w:val="20"/>
          <w:szCs w:val="20"/>
          <w:color w:val="auto"/>
        </w:rPr>
      </w:pPr>
    </w:p>
    <w:p>
      <w:pPr>
        <w:jc w:val="center"/>
        <w:ind w:left="8480"/>
        <w:spacing w:after="0"/>
        <w:rPr>
          <w:sz w:val="20"/>
          <w:szCs w:val="20"/>
          <w:color w:val="auto"/>
        </w:rPr>
      </w:pPr>
      <w:r>
        <w:rPr>
          <w:rFonts w:ascii="Arial" w:cs="Arial" w:eastAsia="Arial" w:hAnsi="Arial"/>
          <w:sz w:val="12"/>
          <w:szCs w:val="12"/>
          <w:b w:val="1"/>
          <w:bCs w:val="1"/>
          <w:color w:val="auto"/>
        </w:rPr>
        <w:t>Nine Months Ended</w:t>
      </w:r>
    </w:p>
    <w:p>
      <w:pPr>
        <w:jc w:val="center"/>
        <w:ind w:left="8480"/>
        <w:spacing w:after="0"/>
        <w:rPr>
          <w:sz w:val="20"/>
          <w:szCs w:val="20"/>
          <w:color w:val="auto"/>
        </w:rPr>
      </w:pPr>
      <w:r>
        <w:rPr>
          <w:rFonts w:ascii="Arial" w:cs="Arial" w:eastAsia="Arial" w:hAnsi="Arial"/>
          <w:sz w:val="12"/>
          <w:szCs w:val="12"/>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20" w:type="dxa"/>
            <w:vAlign w:val="bottom"/>
            <w:vMerge w:val="restart"/>
          </w:tcPr>
          <w:p>
            <w:pPr>
              <w:spacing w:after="0"/>
              <w:rPr>
                <w:sz w:val="20"/>
                <w:szCs w:val="20"/>
                <w:color w:val="auto"/>
              </w:rPr>
            </w:pPr>
            <w:r>
              <w:rPr>
                <w:rFonts w:ascii="Arial" w:cs="Arial" w:eastAsia="Arial" w:hAnsi="Arial"/>
                <w:sz w:val="12"/>
                <w:szCs w:val="12"/>
                <w:b w:val="1"/>
                <w:bCs w:val="1"/>
                <w:color w:val="auto"/>
              </w:rPr>
              <w:t>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33"/>
        </w:trPr>
        <w:tc>
          <w:tcPr>
            <w:tcW w:w="85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loss</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(42,058)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(41,594)</w:t>
            </w:r>
          </w:p>
        </w:tc>
        <w:tc>
          <w:tcPr>
            <w:tcW w:w="0" w:type="dxa"/>
            <w:vAlign w:val="bottom"/>
          </w:tcPr>
          <w:p>
            <w:pPr>
              <w:spacing w:after="0"/>
              <w:rPr>
                <w:sz w:val="1"/>
                <w:szCs w:val="1"/>
                <w:color w:val="auto"/>
              </w:rPr>
            </w:pPr>
          </w:p>
        </w:tc>
      </w:tr>
      <w:tr>
        <w:trPr>
          <w:trHeight w:val="153"/>
        </w:trPr>
        <w:tc>
          <w:tcPr>
            <w:tcW w:w="852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used for operating activities: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amortization, and impairment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Share-based compensation</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5,128</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3,604</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Interest expense related to the sale of future revenue, net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5,683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10,457</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net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53"/>
        </w:trPr>
        <w:tc>
          <w:tcPr>
            <w:tcW w:w="8520" w:type="dxa"/>
            <w:vAlign w:val="bottom"/>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Trade and other receivables, net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(6,726)</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Inventories, net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(2,687)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 and other assets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(874)</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Accrued expenses and other liabilities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Deferred revenue</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10,509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3,757</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Loans payable</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20"/>
              <w:spacing w:after="0"/>
              <w:rPr>
                <w:sz w:val="20"/>
                <w:szCs w:val="20"/>
                <w:color w:val="auto"/>
              </w:rPr>
            </w:pPr>
            <w:r>
              <w:rPr>
                <w:rFonts w:ascii="Arial" w:cs="Arial" w:eastAsia="Arial" w:hAnsi="Arial"/>
                <w:sz w:val="12"/>
                <w:szCs w:val="12"/>
                <w:color w:val="auto"/>
              </w:rPr>
              <w:t>Net cash used for operating activities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8"/>
              </w:rPr>
              <w:t>(18,235)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(24,918)</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Capital expenditures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Additions to intangible assets</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20"/>
              <w:spacing w:after="0"/>
              <w:rPr>
                <w:sz w:val="20"/>
                <w:szCs w:val="20"/>
                <w:color w:val="auto"/>
              </w:rPr>
            </w:pPr>
            <w:r>
              <w:rPr>
                <w:rFonts w:ascii="Arial" w:cs="Arial" w:eastAsia="Arial" w:hAnsi="Arial"/>
                <w:sz w:val="12"/>
                <w:szCs w:val="12"/>
                <w:color w:val="auto"/>
              </w:rPr>
              <w:t>Net cash used for investing activities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(2,498)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Proceeds from common stock issued under public equity offering, net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24,592</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common stock issued under private equity offering, net</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Proceeds from issuance and exercise of warrants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5,874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Proceeds from shares issued under employee stock purchase plan</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rPr>
                <w:sz w:val="20"/>
                <w:szCs w:val="20"/>
                <w:color w:val="auto"/>
              </w:rPr>
            </w:pPr>
            <w:r>
              <w:rPr>
                <w:rFonts w:ascii="Arial" w:cs="Arial" w:eastAsia="Arial" w:hAnsi="Arial"/>
                <w:sz w:val="12"/>
                <w:szCs w:val="12"/>
                <w:color w:val="auto"/>
              </w:rPr>
              <w:t>Premium paid to retire debt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Payments for taxes on share-based compensation</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2"/>
        </w:trPr>
        <w:tc>
          <w:tcPr>
            <w:tcW w:w="8520" w:type="dxa"/>
            <w:vAlign w:val="bottom"/>
          </w:tcPr>
          <w:p>
            <w:pPr>
              <w:ind w:left="220"/>
              <w:spacing w:after="0"/>
              <w:rPr>
                <w:sz w:val="20"/>
                <w:szCs w:val="20"/>
                <w:color w:val="auto"/>
              </w:rPr>
            </w:pPr>
            <w:r>
              <w:rPr>
                <w:rFonts w:ascii="Arial" w:cs="Arial" w:eastAsia="Arial" w:hAnsi="Arial"/>
                <w:sz w:val="12"/>
                <w:szCs w:val="12"/>
                <w:color w:val="auto"/>
              </w:rPr>
              <w:t>Net cash provided by financing activities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11,358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24,655</w:t>
            </w: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53"/>
        </w:trPr>
        <w:tc>
          <w:tcPr>
            <w:tcW w:w="8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period</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31,807</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31,164</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disclosures of cash flow information:</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20" w:type="dxa"/>
            <w:vAlign w:val="bottom"/>
          </w:tcPr>
          <w:p>
            <w:pPr>
              <w:spacing w:after="0"/>
              <w:rPr>
                <w:sz w:val="20"/>
                <w:szCs w:val="20"/>
                <w:color w:val="auto"/>
              </w:rPr>
            </w:pPr>
            <w:r>
              <w:rPr>
                <w:rFonts w:ascii="Arial" w:cs="Arial" w:eastAsia="Arial" w:hAnsi="Arial"/>
                <w:sz w:val="12"/>
                <w:szCs w:val="12"/>
                <w:color w:val="auto"/>
              </w:rPr>
              <w:t>Cash payments for interest</w:t>
            </w: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1,609</w:t>
            </w:r>
          </w:p>
        </w:tc>
        <w:tc>
          <w:tcPr>
            <w:tcW w:w="10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4,828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7" w:name="page8"/>
    <w:bookmarkEnd w:id="7"/>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 in thousands, except share and per share information)</w:t>
      </w:r>
    </w:p>
    <w:p>
      <w:pPr>
        <w:spacing w:after="0" w:line="137"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0"/>
          <w:szCs w:val="10"/>
          <w:b w:val="1"/>
          <w:bCs w:val="1"/>
          <w:color w:val="auto"/>
        </w:rPr>
        <w:t>Company Overview and Basis of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Company Overview</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Aquestive Therapeutics, Inc. (together with its subsidiary, “Aquestive” or “the Company”) is a pharmaceutical company advancing current standards of care to solve patients’ problems through simplifying complex delivery methods. The Company is developing pharmaceutical products to deliver complex molecules through alternative administrations to invasive and inconvenient standard of care therapies. Aquestive has five licensed commercialized products which are marketed by our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an early stage product pipeline for the treatment of severe allergic reactions, including anaphylaxis. The Company has also developed a product pipeline focused on treating diseases of the central nervous system, or CNS. The Company's production facilities are located in Portage, Indiana, and our corporate headquarters, sales and commercialization operations and primary research laboratory facilities are based in Warren, New Jersey.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 Equity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Offering of Common Stock</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September 11, 2019, the Company established an “At-The-Market” (ATM) facility pursuant to which the Company may offer up to $25,000 worth of shares of common stock, par value $0.001 per share, of the Company (the "Common Stock"). On November 20, 2020, the Company began utilizing the ATM facility. On March 26, 2021, the Company filed a prospectus supplement to offer up to an additional $50,000 worth of shares of Common Stock under the ATM . The 2019 Registration Statement expired under its terms on September 17, 2022. On September 7, 2022, the Company filed a prospectus supplement to register the offer and sale of up to $35,000 worth of shares of Common Stock pursuant to the Amended Equity Distribution Agreement under a shelf registration statement on Form S-3 (Registration Statement No. 333-254775), or the 2021 Registration Statement, that was declared effective by the Securities and Exchange Commission (SEC) on April 5, 2021. The Company discontinued using the 2021 Prospectus upon the filing of the prospectus supplement on September 7, 2022.</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nine months ended September 30, 2022, the Company sold 1,906,350 shares of Common Stock under the ATM which provided net proceeds of approximately $3,017 after deducting commissions and other transaction costs of $237. For the nine months ended September 30, 2021, the Company sold 5,486,871 worth of shares of Common Stock under the ATM which provided net proceeds of approximately $24,592 after deducting commissions and other transaction costs of $1,068. This ATM facility has approximately $34,358 worth of shares of Common Stock available at September 30, 2022.</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April 12, 2022, the Company entered into a purchase agreement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the Company's common stock. For the nine months ended September 30, 2022, the Company sold 1,611,181 shares including commitment shares, which provided proceeds of approximately $1,987 in connection with the Lincoln Park Purchase Agreement</w:t>
      </w:r>
      <w:r>
        <w:rPr>
          <w:rFonts w:ascii="Arial" w:cs="Arial" w:eastAsia="Arial" w:hAnsi="Arial"/>
          <w:sz w:val="12"/>
          <w:szCs w:val="12"/>
          <w:b w:val="1"/>
          <w:bCs w:val="1"/>
          <w:color w:val="auto"/>
        </w:rPr>
        <w:t>.</w:t>
      </w:r>
      <w:r>
        <w:rPr>
          <w:rFonts w:ascii="Arial" w:cs="Arial" w:eastAsia="Arial" w:hAnsi="Arial"/>
          <w:sz w:val="12"/>
          <w:szCs w:val="12"/>
          <w:color w:val="auto"/>
        </w:rPr>
        <w:t xml:space="preserve"> On April 13, 2022, the Company filed a prospectus supplement in connection with this offering.</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June 6, 2022, the Company entered into securities purchase agreements ("Securities Purchase Agreements") with certain purchasers. The Securities Purchase Agreements provided for the sale and issuance by the Company of an aggregate of: (i) 4,850,000 shares of Common Stock, (ii) 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intends to use the net proceeds from the offering for general corporate purposes. On June 8, 2022, the Company filed a prospectus supplement in connection with this equity offering.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 w:name="page9"/>
    <w:bookmarkEnd w:id="8"/>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Basis of Presentation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2021 included in the Company’s Annual Report on Form 10-K filed with the SEC on March 8, 2022 (the “2021 Annual Report on Form 10-K”). As included herein, the condensed consolidated balance sheet as of December 31, 2021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financial statements.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29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0"/>
          <w:szCs w:val="10"/>
          <w:b w:val="1"/>
          <w:bCs w:val="1"/>
          <w:color w:val="auto"/>
        </w:rPr>
        <w:t>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Recent Accounting Pronouncements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 standards that are not yet effective will not have a material impact on its financial position or results of operations upon adoption</w:t>
      </w:r>
      <w:r>
        <w:rPr>
          <w:rFonts w:ascii="Arial" w:cs="Arial" w:eastAsia="Arial" w:hAnsi="Arial"/>
          <w:sz w:val="12"/>
          <w:szCs w:val="12"/>
          <w:color w:val="212529"/>
        </w:rPr>
        <w: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 Not Adopted as of September 30, 2022:</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 xml:space="preserve">In June 2016, the FASB issued ASU 2016-13, </w:t>
      </w:r>
      <w:r>
        <w:rPr>
          <w:rFonts w:ascii="Arial" w:cs="Arial" w:eastAsia="Arial" w:hAnsi="Arial"/>
          <w:sz w:val="12"/>
          <w:szCs w:val="12"/>
          <w:i w:val="1"/>
          <w:iCs w:val="1"/>
          <w:color w:val="auto"/>
        </w:rPr>
        <w:t>Financial Instruments – Credit Losses (Topic 326)</w:t>
      </w:r>
      <w:r>
        <w:rPr>
          <w:rFonts w:ascii="Arial" w:cs="Arial" w:eastAsia="Arial" w:hAnsi="Arial"/>
          <w:sz w:val="12"/>
          <w:szCs w:val="12"/>
          <w:color w:val="auto"/>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new guidance is effective for the Company beginning after December 15, 2022. The Company does not expect the new accounting guidance to have a material impact on the Company's consolidated financial statements.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Debt-Debt with Conversion and Other Options (Subtopic 470-20) and Derivatives and Hedging-Contracts in Entity’s Own Equity (Subtopic 815-40)</w:t>
      </w:r>
      <w:r>
        <w:rPr>
          <w:rFonts w:ascii="Arial" w:cs="Arial" w:eastAsia="Arial" w:hAnsi="Arial"/>
          <w:sz w:val="12"/>
          <w:szCs w:val="12"/>
          <w:color w:val="auto"/>
        </w:rPr>
        <w:t>: Accounting for Convertible Instruments and Contracts in an Entity’s Own Equity.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May 2021, the FASB issued ASU 2021-04, </w:t>
      </w:r>
      <w:r>
        <w:rPr>
          <w:rFonts w:ascii="Arial" w:cs="Arial" w:eastAsia="Arial" w:hAnsi="Arial"/>
          <w:sz w:val="12"/>
          <w:szCs w:val="12"/>
          <w:i w:val="1"/>
          <w:iCs w:val="1"/>
          <w:color w:val="auto"/>
        </w:rPr>
        <w:t>Earnings Per Share (Topic 260), Debt—Modifications and Extinguishments (Subtopic 470-50), Compensation—Stock Compensation (Topic 718), and Derivatives and Hedging—Contracts</w:t>
      </w:r>
      <w:r>
        <w:rPr>
          <w:rFonts w:ascii="Arial" w:cs="Arial" w:eastAsia="Arial" w:hAnsi="Arial"/>
          <w:sz w:val="12"/>
          <w:szCs w:val="12"/>
          <w:color w:val="auto"/>
        </w:rPr>
        <w:t xml:space="preserve"> </w:t>
      </w:r>
      <w:r>
        <w:rPr>
          <w:rFonts w:ascii="Arial" w:cs="Arial" w:eastAsia="Arial" w:hAnsi="Arial"/>
          <w:sz w:val="12"/>
          <w:szCs w:val="12"/>
          <w:i w:val="1"/>
          <w:iCs w:val="1"/>
          <w:color w:val="auto"/>
        </w:rPr>
        <w:t>in Entity’s Own Equity (Subtopic 815-40) Issuer’s Accounting for Certain Modifications or Exchanges of Freestanding Equity-Classified Written Call Options</w:t>
      </w:r>
      <w:r>
        <w:rPr>
          <w:rFonts w:ascii="Arial" w:cs="Arial" w:eastAsia="Arial" w:hAnsi="Arial"/>
          <w:sz w:val="12"/>
          <w:szCs w:val="12"/>
          <w:color w:val="auto"/>
        </w:rPr>
        <w:t>. The accounting standard update was issued to clarify and reduce diversity</w:t>
      </w:r>
      <w:r>
        <w:rPr>
          <w:rFonts w:ascii="Arial" w:cs="Arial" w:eastAsia="Arial" w:hAnsi="Arial"/>
          <w:sz w:val="12"/>
          <w:szCs w:val="12"/>
          <w:i w:val="1"/>
          <w:iCs w:val="1"/>
          <w:color w:val="auto"/>
        </w:rPr>
        <w:t xml:space="preserve"> </w:t>
      </w:r>
      <w:r>
        <w:rPr>
          <w:rFonts w:ascii="Arial" w:cs="Arial" w:eastAsia="Arial" w:hAnsi="Arial"/>
          <w:sz w:val="12"/>
          <w:szCs w:val="12"/>
          <w:color w:val="auto"/>
        </w:rPr>
        <w:t>in an issuer’s accounting for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 w:name="page10"/>
    <w:bookmarkEnd w:id="9"/>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modifications or exchanges of freestanding equity-classified written call options that remain equity classified after modification or exchange. The new accounting guidance is effective for the Company beginning after December 15, 2022. Early adoption is permitted. The Company does not expect the new accounting guidance to have a material impact on the Company's consolidated financial statements.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June 2022, the FASB issued ASU 2022-03, </w:t>
      </w:r>
      <w:r>
        <w:rPr>
          <w:rFonts w:ascii="Arial" w:cs="Arial" w:eastAsia="Arial" w:hAnsi="Arial"/>
          <w:sz w:val="12"/>
          <w:szCs w:val="12"/>
          <w:i w:val="1"/>
          <w:iCs w:val="1"/>
          <w:color w:val="auto"/>
        </w:rPr>
        <w:t>Fair Value Measurement (Topic 820)</w:t>
      </w:r>
      <w:r>
        <w:rPr>
          <w:rFonts w:ascii="Arial" w:cs="Arial" w:eastAsia="Arial" w:hAnsi="Arial"/>
          <w:sz w:val="12"/>
          <w:szCs w:val="12"/>
          <w:color w:val="auto"/>
        </w:rPr>
        <w:t xml:space="preserve">: </w:t>
      </w:r>
      <w:r>
        <w:rPr>
          <w:rFonts w:ascii="Arial" w:cs="Arial" w:eastAsia="Arial" w:hAnsi="Arial"/>
          <w:sz w:val="12"/>
          <w:szCs w:val="12"/>
          <w:i w:val="1"/>
          <w:iCs w:val="1"/>
          <w:color w:val="auto"/>
        </w:rPr>
        <w:t>Fair Value Measurement of Equity Securities Subject to Contractual Sale Restrictions</w:t>
      </w:r>
      <w:r>
        <w:rPr>
          <w:rFonts w:ascii="Arial" w:cs="Arial" w:eastAsia="Arial" w:hAnsi="Arial"/>
          <w:sz w:val="12"/>
          <w:szCs w:val="12"/>
          <w:color w:val="auto"/>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w:t>
      </w:r>
    </w:p>
    <w:p>
      <w:pPr>
        <w:spacing w:after="0" w:line="30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0"/>
          <w:szCs w:val="10"/>
          <w:b w:val="1"/>
          <w:bCs w:val="1"/>
          <w:color w:val="auto"/>
        </w:rPr>
        <w:t>Risks and Uncertainties</w:t>
      </w:r>
    </w:p>
    <w:p>
      <w:pPr>
        <w:spacing w:after="0" w:line="163"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These consolidated financial statements have been prepared in accordance with U.S. GAAP assuming the Company will continue as a going concern. The going concern assumption contemplates the realization of assets and satisfaction of liabilities in the normal course of business. However, substantial doubt about the Company’s ability to continue as a going concern exists.</w:t>
      </w:r>
    </w:p>
    <w:p>
      <w:pPr>
        <w:spacing w:after="0" w:line="13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assesses liquidity in terms of its ability to generate cash to fund its operating, investing and financing activities. 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September 30, 2022, the Company had $18,649 of cash and cash equivalents.</w:t>
      </w:r>
    </w:p>
    <w:p>
      <w:pPr>
        <w:spacing w:after="0" w:line="123"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0"/>
          <w:szCs w:val="10"/>
          <w:color w:val="auto"/>
        </w:rPr>
        <w:t>The Company has experienced a history of net losses. The Company's accumulated deficits totaled $298,855 as of September 30, 2022.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existing equity and debt offerings, including the Senior Secured Notes due 2025 (the "12.5% Notes"). However, the Company will require additional liquidity to continue its operations over the next 12 months.</w:t>
      </w:r>
    </w:p>
    <w:p>
      <w:pPr>
        <w:spacing w:after="0" w:line="11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The Company began utilizing its ATM facility in November 2020. Since inception to September 30, 2022, the Company sold 9,387,769 shares of Common Stock which generated net cash proceeds of approximately $38,850, net of commissions and other transaction costs of $2,001. For the nine months ended September 30, 2022, the Company sold 1,906,350 shares of Common Stock which provided net proceeds of approximately $3,017, net of commissions and other transaction costs of $237. This ATM facility has approximately $34,358 worth of shares of Common Stock available at September 30, 2022.</w:t>
      </w:r>
    </w:p>
    <w:p>
      <w:pPr>
        <w:spacing w:after="0" w:line="14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The Company’s ability to execute its business objectives and achieve profitability over the longer term cannot be assured. The Company's on-going business, existing cash and equivalents, expense management activities as well as access to the equity capital markets, including through its ATM facility and under the Lincoln Park Purchase Agreement, provide near term funding opportunities for the Company. However, there can be no assurance that the Company will be able to obtain sufficient additional liquidity when needed or under acceptable terms, if at all.</w:t>
      </w:r>
    </w:p>
    <w:p>
      <w:pPr>
        <w:spacing w:after="0" w:line="141"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The financial statements do not include any adjustments related to the recoverability and classification of recorded asset amounts or the amounts and classification of liabilities that might be necessary should the Company be unable to continue as a going concern.</w:t>
      </w:r>
    </w:p>
    <w:p>
      <w:pPr>
        <w:spacing w:after="0" w:line="13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4.</w:t>
      </w:r>
      <w:r>
        <w:rPr>
          <w:sz w:val="20"/>
          <w:szCs w:val="20"/>
          <w:color w:val="auto"/>
        </w:rPr>
        <w:tab/>
      </w:r>
      <w:r>
        <w:rPr>
          <w:rFonts w:ascii="Arial" w:cs="Arial" w:eastAsia="Arial" w:hAnsi="Arial"/>
          <w:sz w:val="10"/>
          <w:szCs w:val="10"/>
          <w:b w:val="1"/>
          <w:bCs w:val="1"/>
          <w:color w:val="auto"/>
        </w:rPr>
        <w:t>Revenues and Trade Receivables, Net</w:t>
      </w:r>
    </w:p>
    <w:p>
      <w:pPr>
        <w:spacing w:after="0" w:line="17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 Company’s revenues include (i) sales of manufactured products pursuant to contracts with commercialization licensees, (ii) sales of its proprietary clobazam-based Sympazan oral film product, (iii) license and royalty revenues and (iv)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 w:name="page11"/>
    <w:bookmarkEnd w:id="10"/>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transaction price, (4) allocating the transaction price to the performance obligations, and (5) recognizing when, or as, an entity satisfies a performance obligation.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Obligations</w:t>
      </w:r>
    </w:p>
    <w:p>
      <w:pPr>
        <w:spacing w:after="0" w:line="16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identify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of goods and services identified in the contracts, purchase orders or invoices.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 xml:space="preserve">Manufacture and supply revenue </w:t>
      </w:r>
      <w:r>
        <w:rPr>
          <w:rFonts w:ascii="Arial" w:cs="Arial" w:eastAsia="Arial" w:hAnsi="Arial"/>
          <w:sz w:val="11"/>
          <w:szCs w:val="11"/>
          <w:color w:val="auto"/>
        </w:rPr>
        <w:t>– this revenue is derived from products manufactured exclusively for specific customers according to their strictly-defined specifications, subject only to specified quality control inspections.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Accordingly, at the point in time when quality control requirements are satisfied, revenue net of related discounts is recorded.</w:t>
      </w:r>
    </w:p>
    <w:p>
      <w:pPr>
        <w:spacing w:after="0" w:line="15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i w:val="1"/>
          <w:iCs w:val="1"/>
          <w:color w:val="auto"/>
        </w:rPr>
        <w:t xml:space="preserve">Proprietary product sales, net </w:t>
      </w:r>
      <w:r>
        <w:rPr>
          <w:rFonts w:ascii="Arial" w:cs="Arial" w:eastAsia="Arial" w:hAnsi="Arial"/>
          <w:sz w:val="12"/>
          <w:szCs w:val="12"/>
          <w:color w:val="auto"/>
        </w:rPr>
        <w:t>- this net revenue is recognized when product is shipped and title passes to the customer, typically at time of delivery. At the time of sale, estimates for various revenue allowances are recorded</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historical trends and judgmental estimates. For sales of Sympazan,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14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i w:val="1"/>
          <w:iCs w:val="1"/>
          <w:color w:val="auto"/>
        </w:rPr>
        <w:t>License and Royalty Revenu</w:t>
      </w:r>
      <w:r>
        <w:rPr>
          <w:rFonts w:ascii="Arial" w:cs="Arial" w:eastAsia="Arial" w:hAnsi="Arial"/>
          <w:sz w:val="12"/>
          <w:szCs w:val="12"/>
          <w:color w:val="auto"/>
        </w:rPr>
        <w:t>e – license revenues are determined based on an assessment of whether the license is distinct from any other performance obligations that may be included in the underlying licensing arrangement. If</w:t>
      </w:r>
      <w:r>
        <w:rPr>
          <w:rFonts w:ascii="Arial" w:cs="Arial" w:eastAsia="Arial" w:hAnsi="Arial"/>
          <w:sz w:val="12"/>
          <w:szCs w:val="12"/>
          <w:i w:val="1"/>
          <w:iCs w:val="1"/>
          <w:color w:val="auto"/>
        </w:rPr>
        <w:t xml:space="preserve"> </w:t>
      </w:r>
      <w:r>
        <w:rPr>
          <w:rFonts w:ascii="Arial" w:cs="Arial" w:eastAsia="Arial" w:hAnsi="Arial"/>
          <w:sz w:val="12"/>
          <w:szCs w:val="12"/>
          <w:color w:val="auto"/>
        </w:rPr>
        <w:t>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Royalty revenue is estimated and recognized when sales under supply agreements with commercial licensees are recorded, absent any contractual constraints or collectability uncertainties.</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i w:val="1"/>
          <w:iCs w:val="1"/>
          <w:color w:val="auto"/>
        </w:rPr>
        <w:t xml:space="preserve">Co-development and Research Fees </w:t>
      </w:r>
      <w:r>
        <w:rPr>
          <w:rFonts w:ascii="Arial" w:cs="Arial" w:eastAsia="Arial" w:hAnsi="Arial"/>
          <w:sz w:val="12"/>
          <w:szCs w:val="12"/>
          <w:color w:val="auto"/>
        </w:rPr>
        <w:t>– co-development and research fees are earned through performance of specific tasks, activities or completion of stages of development defined within a contractual development or</w:t>
      </w:r>
      <w:r>
        <w:rPr>
          <w:rFonts w:ascii="Arial" w:cs="Arial" w:eastAsia="Arial" w:hAnsi="Arial"/>
          <w:sz w:val="12"/>
          <w:szCs w:val="12"/>
          <w:i w:val="1"/>
          <w:iCs w:val="1"/>
          <w:color w:val="auto"/>
        </w:rPr>
        <w:t xml:space="preserve"> </w:t>
      </w:r>
      <w:r>
        <w:rPr>
          <w:rFonts w:ascii="Arial" w:cs="Arial" w:eastAsia="Arial" w:hAnsi="Arial"/>
          <w:sz w:val="12"/>
          <w:szCs w:val="12"/>
          <w:color w:val="auto"/>
        </w:rPr>
        <w:t>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Revenue recognition arising from milestone payments is dependent upon the facts and circumstances surrounding the milestone payments. Milestone payments based on a non-sales metric such as a development-based milestone (e.g.,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 w:name="page12"/>
    <w:bookmarkEnd w:id="11"/>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of a sales threshold, the revenue from the milestone payments is recognized at the later of when the actual sales are incurred or the performance obligation to which the sales relate to has been satisfied.</w:t>
      </w:r>
    </w:p>
    <w:p>
      <w:pPr>
        <w:spacing w:after="0" w:line="16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i w:val="1"/>
          <w:iCs w:val="1"/>
          <w:color w:val="auto"/>
        </w:rPr>
        <w:t xml:space="preserve">Contract Assets </w:t>
      </w:r>
      <w:r>
        <w:rPr>
          <w:rFonts w:ascii="Arial" w:cs="Arial" w:eastAsia="Arial" w:hAnsi="Arial"/>
          <w:sz w:val="11"/>
          <w:szCs w:val="11"/>
          <w:color w:val="auto"/>
        </w:rPr>
        <w:t>- in certain situations, customer contractual payment terms provide for invoicing in arrears. Accordingly, some, or all performance obligations may be completely satisfied before the customer may be invoiced</w:t>
      </w:r>
      <w:r>
        <w:rPr>
          <w:rFonts w:ascii="Arial" w:cs="Arial" w:eastAsia="Arial" w:hAnsi="Arial"/>
          <w:sz w:val="11"/>
          <w:szCs w:val="11"/>
          <w:i w:val="1"/>
          <w:iCs w:val="1"/>
          <w:color w:val="auto"/>
        </w:rPr>
        <w:t xml:space="preserve"> </w:t>
      </w:r>
      <w:r>
        <w:rPr>
          <w:rFonts w:ascii="Arial" w:cs="Arial" w:eastAsia="Arial" w:hAnsi="Arial"/>
          <w:sz w:val="11"/>
          <w:szCs w:val="11"/>
          <w:color w:val="auto"/>
        </w:rPr>
        <w:t>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September 30, 2022, and December 31, 2021, such contract assets were $2,150 and $3,087, respectively, consisting primarily of products and services provided under specific contracts to customers for which earnings processes have been met prior to shipment of goods or full delivery of completed services.</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 xml:space="preserve">Contract Liabilities </w:t>
      </w:r>
      <w:r>
        <w:rPr>
          <w:rFonts w:ascii="Arial" w:cs="Arial" w:eastAsia="Arial" w:hAnsi="Arial"/>
          <w:sz w:val="12"/>
          <w:szCs w:val="12"/>
          <w:color w:val="auto"/>
        </w:rPr>
        <w:t>- in certain situations, customer contractual payment terms are structured to permit invoicing in advance of delivery of a good or service. In such instances, the customer’s cash payment may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September 30, 2022, and December 31, 2021, such contract liabilities were $18,396 and $7,887,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ind w:left="420"/>
              <w:spacing w:after="0"/>
              <w:rPr>
                <w:sz w:val="20"/>
                <w:szCs w:val="20"/>
                <w:color w:val="auto"/>
              </w:rPr>
            </w:pPr>
            <w:r>
              <w:rPr>
                <w:rFonts w:ascii="Arial" w:cs="Arial" w:eastAsia="Arial" w:hAnsi="Arial"/>
                <w:sz w:val="12"/>
                <w:szCs w:val="12"/>
                <w:color w:val="auto"/>
              </w:rPr>
              <w:t>The Company’s revenues were comprised of the following:</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8"/>
        </w:trPr>
        <w:tc>
          <w:tcPr>
            <w:tcW w:w="6200" w:type="dxa"/>
            <w:vAlign w:val="bottom"/>
          </w:tcPr>
          <w:p>
            <w:pPr>
              <w:spacing w:after="0"/>
              <w:rPr>
                <w:sz w:val="17"/>
                <w:szCs w:val="17"/>
                <w:color w:val="auto"/>
              </w:rPr>
            </w:pPr>
          </w:p>
        </w:tc>
        <w:tc>
          <w:tcPr>
            <w:tcW w:w="2080" w:type="dxa"/>
            <w:vAlign w:val="bottom"/>
            <w:gridSpan w:val="4"/>
          </w:tcPr>
          <w:p>
            <w:pPr>
              <w:jc w:val="center"/>
              <w:ind w:left="360"/>
              <w:spacing w:after="0"/>
              <w:rPr>
                <w:sz w:val="20"/>
                <w:szCs w:val="20"/>
                <w:color w:val="auto"/>
              </w:rPr>
            </w:pPr>
            <w:r>
              <w:rPr>
                <w:rFonts w:ascii="Arial" w:cs="Arial" w:eastAsia="Arial" w:hAnsi="Arial"/>
                <w:sz w:val="12"/>
                <w:szCs w:val="12"/>
                <w:b w:val="1"/>
                <w:bCs w:val="1"/>
                <w:color w:val="auto"/>
                <w:w w:val="92"/>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91"/>
              </w:rPr>
              <w:t>Nine Months Ended</w:t>
            </w:r>
          </w:p>
        </w:tc>
        <w:tc>
          <w:tcPr>
            <w:tcW w:w="740" w:type="dxa"/>
            <w:vAlign w:val="bottom"/>
          </w:tcPr>
          <w:p>
            <w:pPr>
              <w:spacing w:after="0"/>
              <w:rPr>
                <w:sz w:val="17"/>
                <w:szCs w:val="17"/>
                <w:color w:val="auto"/>
              </w:rPr>
            </w:pPr>
          </w:p>
        </w:tc>
      </w:tr>
      <w:tr>
        <w:trPr>
          <w:trHeight w:val="157"/>
        </w:trPr>
        <w:tc>
          <w:tcPr>
            <w:tcW w:w="6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0"/>
              </w:rPr>
              <w:t>September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90"/>
              </w:rPr>
              <w:t>September 30,</w:t>
            </w:r>
          </w:p>
        </w:tc>
        <w:tc>
          <w:tcPr>
            <w:tcW w:w="740" w:type="dxa"/>
            <w:vAlign w:val="bottom"/>
          </w:tcPr>
          <w:p>
            <w:pPr>
              <w:spacing w:after="0"/>
              <w:rPr>
                <w:sz w:val="13"/>
                <w:szCs w:val="13"/>
                <w:color w:val="auto"/>
              </w:rPr>
            </w:pPr>
          </w:p>
        </w:tc>
      </w:tr>
      <w:tr>
        <w:trPr>
          <w:trHeight w:val="158"/>
        </w:trPr>
        <w:tc>
          <w:tcPr>
            <w:tcW w:w="6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2021</w:t>
            </w:r>
          </w:p>
        </w:tc>
      </w:tr>
      <w:tr>
        <w:trPr>
          <w:trHeight w:val="142"/>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Manufacture and supply revenue</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10,447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27,456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27,623</w:t>
            </w: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License and royalty revenue</w:t>
            </w: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1,434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5,000</w:t>
            </w:r>
          </w:p>
        </w:tc>
      </w:tr>
      <w:tr>
        <w:trPr>
          <w:trHeight w:val="153"/>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Co-development and research fees</w:t>
            </w: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r>
      <w:tr>
        <w:trPr>
          <w:trHeight w:val="153"/>
        </w:trPr>
        <w:tc>
          <w:tcPr>
            <w:tcW w:w="6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Proprietary product sales, net</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2,281</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7,069</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5,714</w:t>
            </w:r>
          </w:p>
        </w:tc>
      </w:tr>
      <w:tr>
        <w:trPr>
          <w:trHeight w:val="162"/>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11,463</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13,287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36,998</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39,754</w:t>
            </w:r>
          </w:p>
        </w:tc>
      </w:tr>
      <w:tr>
        <w:trPr>
          <w:trHeight w:val="356"/>
        </w:trPr>
        <w:tc>
          <w:tcPr>
            <w:tcW w:w="6200" w:type="dxa"/>
            <w:vAlign w:val="bottom"/>
          </w:tcPr>
          <w:p>
            <w:pPr>
              <w:spacing w:after="0"/>
              <w:rPr>
                <w:sz w:val="20"/>
                <w:szCs w:val="20"/>
                <w:color w:val="auto"/>
              </w:rPr>
            </w:pPr>
            <w:r>
              <w:rPr>
                <w:rFonts w:ascii="Arial" w:cs="Arial" w:eastAsia="Arial" w:hAnsi="Arial"/>
                <w:sz w:val="12"/>
                <w:szCs w:val="12"/>
                <w:i w:val="1"/>
                <w:iCs w:val="1"/>
                <w:color w:val="auto"/>
              </w:rPr>
              <w:t>Disaggregation of Revenue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6"/>
        </w:trPr>
        <w:tc>
          <w:tcPr>
            <w:tcW w:w="6200" w:type="dxa"/>
            <w:vAlign w:val="bottom"/>
          </w:tcPr>
          <w:p>
            <w:pPr>
              <w:ind w:left="420"/>
              <w:spacing w:after="0"/>
              <w:rPr>
                <w:sz w:val="20"/>
                <w:szCs w:val="20"/>
                <w:color w:val="auto"/>
              </w:rPr>
            </w:pPr>
            <w:r>
              <w:rPr>
                <w:rFonts w:ascii="Arial" w:cs="Arial" w:eastAsia="Arial" w:hAnsi="Arial"/>
                <w:sz w:val="12"/>
                <w:szCs w:val="12"/>
                <w:color w:val="auto"/>
              </w:rPr>
              <w:t>The following table provides disaggregated net revenue by geographic area: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6200" w:type="dxa"/>
            <w:vAlign w:val="bottom"/>
          </w:tcPr>
          <w:p>
            <w:pPr>
              <w:spacing w:after="0"/>
              <w:rPr>
                <w:sz w:val="24"/>
                <w:szCs w:val="24"/>
                <w:color w:val="auto"/>
              </w:rPr>
            </w:pPr>
          </w:p>
        </w:tc>
        <w:tc>
          <w:tcPr>
            <w:tcW w:w="2080" w:type="dxa"/>
            <w:vAlign w:val="bottom"/>
            <w:gridSpan w:val="4"/>
          </w:tcPr>
          <w:p>
            <w:pPr>
              <w:jc w:val="center"/>
              <w:ind w:left="360"/>
              <w:spacing w:after="0"/>
              <w:rPr>
                <w:sz w:val="20"/>
                <w:szCs w:val="20"/>
                <w:color w:val="auto"/>
              </w:rPr>
            </w:pPr>
            <w:r>
              <w:rPr>
                <w:rFonts w:ascii="Arial" w:cs="Arial" w:eastAsia="Arial" w:hAnsi="Arial"/>
                <w:sz w:val="12"/>
                <w:szCs w:val="12"/>
                <w:b w:val="1"/>
                <w:bCs w:val="1"/>
                <w:color w:val="auto"/>
                <w:w w:val="92"/>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91"/>
              </w:rPr>
              <w:t>Nine Months Ended</w:t>
            </w:r>
          </w:p>
        </w:tc>
        <w:tc>
          <w:tcPr>
            <w:tcW w:w="740" w:type="dxa"/>
            <w:vAlign w:val="bottom"/>
          </w:tcPr>
          <w:p>
            <w:pPr>
              <w:spacing w:after="0"/>
              <w:rPr>
                <w:sz w:val="24"/>
                <w:szCs w:val="24"/>
                <w:color w:val="auto"/>
              </w:rPr>
            </w:pPr>
          </w:p>
        </w:tc>
      </w:tr>
      <w:tr>
        <w:trPr>
          <w:trHeight w:val="157"/>
        </w:trPr>
        <w:tc>
          <w:tcPr>
            <w:tcW w:w="6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0"/>
              </w:rPr>
              <w:t>September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left="400"/>
              <w:spacing w:after="0"/>
              <w:rPr>
                <w:sz w:val="20"/>
                <w:szCs w:val="20"/>
                <w:color w:val="auto"/>
              </w:rPr>
            </w:pPr>
            <w:r>
              <w:rPr>
                <w:rFonts w:ascii="Arial" w:cs="Arial" w:eastAsia="Arial" w:hAnsi="Arial"/>
                <w:sz w:val="12"/>
                <w:szCs w:val="12"/>
                <w:b w:val="1"/>
                <w:bCs w:val="1"/>
                <w:color w:val="auto"/>
                <w:w w:val="90"/>
              </w:rPr>
              <w:t>September 30,</w:t>
            </w:r>
          </w:p>
        </w:tc>
        <w:tc>
          <w:tcPr>
            <w:tcW w:w="740" w:type="dxa"/>
            <w:vAlign w:val="bottom"/>
          </w:tcPr>
          <w:p>
            <w:pPr>
              <w:spacing w:after="0"/>
              <w:rPr>
                <w:sz w:val="13"/>
                <w:szCs w:val="13"/>
                <w:color w:val="auto"/>
              </w:rPr>
            </w:pPr>
          </w:p>
        </w:tc>
      </w:tr>
      <w:tr>
        <w:trPr>
          <w:trHeight w:val="158"/>
        </w:trPr>
        <w:tc>
          <w:tcPr>
            <w:tcW w:w="6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2021</w:t>
            </w:r>
          </w:p>
        </w:tc>
      </w:tr>
      <w:tr>
        <w:trPr>
          <w:trHeight w:val="142"/>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10,530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33,487</w:t>
            </w:r>
          </w:p>
        </w:tc>
      </w:tr>
      <w:tr>
        <w:trPr>
          <w:trHeight w:val="153"/>
        </w:trPr>
        <w:tc>
          <w:tcPr>
            <w:tcW w:w="6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Ex-United States</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2,385</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6,267</w:t>
            </w:r>
          </w:p>
        </w:tc>
      </w:tr>
      <w:tr>
        <w:trPr>
          <w:trHeight w:val="15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11,463</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13,287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36,998</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39,754</w:t>
            </w: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Ex-United States revenues are derived primarily from Indivior Inc. ("Indivior") for product manufactured for markets outside of the United States.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Trade and other receivables, net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320"/>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3700" w:type="dxa"/>
            <w:vAlign w:val="bottom"/>
            <w:tcBorders>
              <w:bottom w:val="single" w:sz="8" w:color="CCEEFF"/>
            </w:tcBorders>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r>
      <w:tr>
        <w:trPr>
          <w:trHeight w:val="142"/>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Trade receivables</w:t>
            </w:r>
          </w:p>
        </w:tc>
        <w:tc>
          <w:tcPr>
            <w:tcW w:w="5680" w:type="dxa"/>
            <w:vAlign w:val="bottom"/>
            <w:gridSpan w:val="2"/>
            <w:shd w:val="clear" w:color="auto" w:fill="CCEEFF"/>
          </w:tcPr>
          <w:p>
            <w:pPr>
              <w:jc w:val="right"/>
              <w:ind w:right="10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9,678</w:t>
            </w:r>
          </w:p>
        </w:tc>
      </w:tr>
      <w:tr>
        <w:trPr>
          <w:trHeight w:val="153"/>
        </w:trPr>
        <w:tc>
          <w:tcPr>
            <w:tcW w:w="3700" w:type="dxa"/>
            <w:vAlign w:val="bottom"/>
          </w:tcPr>
          <w:p>
            <w:pPr>
              <w:spacing w:after="0"/>
              <w:rPr>
                <w:sz w:val="20"/>
                <w:szCs w:val="20"/>
                <w:color w:val="auto"/>
              </w:rPr>
            </w:pPr>
            <w:r>
              <w:rPr>
                <w:rFonts w:ascii="Arial" w:cs="Arial" w:eastAsia="Arial" w:hAnsi="Arial"/>
                <w:sz w:val="12"/>
                <w:szCs w:val="12"/>
                <w:color w:val="auto"/>
              </w:rPr>
              <w:t>Contract and other receivables</w:t>
            </w:r>
          </w:p>
        </w:tc>
        <w:tc>
          <w:tcPr>
            <w:tcW w:w="4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2,150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3,087</w:t>
            </w:r>
          </w:p>
        </w:tc>
      </w:tr>
      <w:tr>
        <w:trPr>
          <w:trHeight w:val="153"/>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Less: allowance for doubtful accounts</w:t>
            </w:r>
          </w:p>
        </w:tc>
        <w:tc>
          <w:tcPr>
            <w:tcW w:w="45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53"/>
        </w:trPr>
        <w:tc>
          <w:tcPr>
            <w:tcW w:w="3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sales-related allowances</w:t>
            </w:r>
          </w:p>
        </w:tc>
        <w:tc>
          <w:tcPr>
            <w:tcW w:w="45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(605)</w:t>
            </w:r>
          </w:p>
        </w:tc>
      </w:tr>
      <w:tr>
        <w:trPr>
          <w:trHeight w:val="162"/>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Trade and other receivables, net</w:t>
            </w:r>
          </w:p>
        </w:tc>
        <w:tc>
          <w:tcPr>
            <w:tcW w:w="5680" w:type="dxa"/>
            <w:vAlign w:val="bottom"/>
            <w:gridSpan w:val="2"/>
            <w:shd w:val="clear" w:color="auto" w:fill="CCEEFF"/>
          </w:tcPr>
          <w:p>
            <w:pPr>
              <w:jc w:val="right"/>
              <w:ind w:right="10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10,737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12,120</w:t>
            </w:r>
          </w:p>
        </w:tc>
      </w:tr>
      <w:tr>
        <w:trPr>
          <w:trHeight w:val="572"/>
        </w:trPr>
        <w:tc>
          <w:tcPr>
            <w:tcW w:w="3700" w:type="dxa"/>
            <w:vAlign w:val="bottom"/>
            <w:tcBorders>
              <w:top w:val="single" w:sz="8" w:color="CCEEFF"/>
            </w:tcBorders>
          </w:tcPr>
          <w:p>
            <w:pPr>
              <w:spacing w:after="0"/>
              <w:rPr>
                <w:sz w:val="24"/>
                <w:szCs w:val="24"/>
                <w:color w:val="auto"/>
              </w:rPr>
            </w:pPr>
          </w:p>
        </w:tc>
        <w:tc>
          <w:tcPr>
            <w:tcW w:w="4540" w:type="dxa"/>
            <w:vAlign w:val="bottom"/>
            <w:tcBorders>
              <w:top w:val="single" w:sz="8" w:color="CCEEFF"/>
            </w:tcBorders>
          </w:tcPr>
          <w:p>
            <w:pPr>
              <w:jc w:val="right"/>
              <w:ind w:right="2480"/>
              <w:spacing w:after="0"/>
              <w:rPr>
                <w:sz w:val="20"/>
                <w:szCs w:val="20"/>
                <w:color w:val="auto"/>
              </w:rPr>
            </w:pPr>
            <w:r>
              <w:rPr>
                <w:rFonts w:ascii="Arial" w:cs="Arial" w:eastAsia="Arial" w:hAnsi="Arial"/>
                <w:sz w:val="12"/>
                <w:szCs w:val="12"/>
                <w:color w:val="auto"/>
              </w:rPr>
              <w:t>12</w:t>
            </w: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2"/>
        </w:trPr>
        <w:tc>
          <w:tcPr>
            <w:tcW w:w="3700" w:type="dxa"/>
            <w:vAlign w:val="bottom"/>
            <w:tcBorders>
              <w:bottom w:val="single" w:sz="8" w:color="9A9A9A"/>
            </w:tcBorders>
          </w:tcPr>
          <w:p>
            <w:pPr>
              <w:spacing w:after="0"/>
              <w:rPr>
                <w:sz w:val="6"/>
                <w:szCs w:val="6"/>
                <w:color w:val="auto"/>
              </w:rPr>
            </w:pPr>
          </w:p>
        </w:tc>
        <w:tc>
          <w:tcPr>
            <w:tcW w:w="4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 w:name="page13"/>
    <w:bookmarkEnd w:id="12"/>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ind w:left="420"/>
              <w:spacing w:after="0"/>
              <w:rPr>
                <w:sz w:val="20"/>
                <w:szCs w:val="20"/>
                <w:color w:val="auto"/>
              </w:rPr>
            </w:pPr>
            <w:r>
              <w:rPr>
                <w:rFonts w:ascii="Arial" w:cs="Arial" w:eastAsia="Arial" w:hAnsi="Arial"/>
                <w:sz w:val="12"/>
                <w:szCs w:val="12"/>
                <w:color w:val="auto"/>
              </w:rPr>
              <w:t>The following table presents the changes in the allowance for doubtful accounts:</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810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8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r>
      <w:tr>
        <w:trPr>
          <w:trHeight w:val="14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Allowance for doubtful accounts at beginning of the period</w:t>
            </w:r>
          </w:p>
        </w:tc>
        <w:tc>
          <w:tcPr>
            <w:tcW w:w="1240" w:type="dxa"/>
            <w:vAlign w:val="bottom"/>
            <w:shd w:val="clear" w:color="auto" w:fill="CCEEFF"/>
          </w:tcPr>
          <w:p>
            <w:pPr>
              <w:jc w:val="right"/>
              <w:ind w:right="1100"/>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53"/>
        </w:trPr>
        <w:tc>
          <w:tcPr>
            <w:tcW w:w="8100" w:type="dxa"/>
            <w:vAlign w:val="bottom"/>
          </w:tcPr>
          <w:p>
            <w:pPr>
              <w:spacing w:after="0"/>
              <w:rPr>
                <w:sz w:val="20"/>
                <w:szCs w:val="20"/>
                <w:color w:val="auto"/>
              </w:rPr>
            </w:pPr>
            <w:r>
              <w:rPr>
                <w:rFonts w:ascii="Arial" w:cs="Arial" w:eastAsia="Arial" w:hAnsi="Arial"/>
                <w:sz w:val="12"/>
                <w:szCs w:val="12"/>
                <w:color w:val="auto"/>
              </w:rPr>
              <w:t>Additions charged to expense</w:t>
            </w:r>
          </w:p>
        </w:tc>
        <w:tc>
          <w:tcPr>
            <w:tcW w:w="124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Write-downs charged against the allowance</w:t>
            </w:r>
          </w:p>
        </w:tc>
        <w:tc>
          <w:tcPr>
            <w:tcW w:w="12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8100" w:type="dxa"/>
            <w:vAlign w:val="bottom"/>
          </w:tcPr>
          <w:p>
            <w:pPr>
              <w:spacing w:after="0"/>
              <w:rPr>
                <w:sz w:val="20"/>
                <w:szCs w:val="20"/>
                <w:color w:val="auto"/>
              </w:rPr>
            </w:pPr>
            <w:r>
              <w:rPr>
                <w:rFonts w:ascii="Arial" w:cs="Arial" w:eastAsia="Arial" w:hAnsi="Arial"/>
                <w:sz w:val="12"/>
                <w:szCs w:val="12"/>
                <w:color w:val="auto"/>
              </w:rPr>
              <w:t>Allowance for doubtful accounts at end of the period</w:t>
            </w:r>
          </w:p>
        </w:tc>
        <w:tc>
          <w:tcPr>
            <w:tcW w:w="1240" w:type="dxa"/>
            <w:vAlign w:val="bottom"/>
            <w:tcBorders>
              <w:top w:val="single" w:sz="8" w:color="auto"/>
              <w:bottom w:val="single" w:sz="8" w:color="auto"/>
            </w:tcBorders>
          </w:tcPr>
          <w:p>
            <w:pPr>
              <w:jc w:val="right"/>
              <w:ind w:right="110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w:t>
            </w:r>
          </w:p>
        </w:tc>
      </w:tr>
      <w:tr>
        <w:trPr>
          <w:trHeight w:val="20"/>
        </w:trPr>
        <w:tc>
          <w:tcPr>
            <w:tcW w:w="8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Related Allowances and Accruals</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a summary of activity with respect to sales related allowances and accruals for the nine months ended September 30,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b w:val="1"/>
                <w:bCs w:val="1"/>
                <w:color w:val="auto"/>
              </w:rPr>
              <w:t>Total Sales Related Allowances</w:t>
            </w:r>
          </w:p>
        </w:tc>
      </w:tr>
      <w:tr>
        <w:trPr>
          <w:trHeight w:val="142"/>
        </w:trPr>
        <w:tc>
          <w:tcPr>
            <w:tcW w:w="7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53"/>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3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r>
      <w:tr>
        <w:trPr>
          <w:trHeight w:val="153"/>
        </w:trPr>
        <w:tc>
          <w:tcPr>
            <w:tcW w:w="7540" w:type="dxa"/>
            <w:vAlign w:val="bottom"/>
          </w:tcPr>
          <w:p>
            <w:pPr>
              <w:spacing w:after="0"/>
              <w:rPr>
                <w:sz w:val="20"/>
                <w:szCs w:val="20"/>
                <w:color w:val="auto"/>
              </w:rPr>
            </w:pPr>
            <w:r>
              <w:rPr>
                <w:rFonts w:ascii="Arial" w:cs="Arial" w:eastAsia="Arial" w:hAnsi="Arial"/>
                <w:sz w:val="12"/>
                <w:szCs w:val="12"/>
                <w:color w:val="auto"/>
              </w:rPr>
              <w:t>Provision</w:t>
            </w:r>
          </w:p>
        </w:tc>
        <w:tc>
          <w:tcPr>
            <w:tcW w:w="580" w:type="dxa"/>
            <w:vAlign w:val="bottom"/>
          </w:tcPr>
          <w:p>
            <w:pPr>
              <w:spacing w:after="0"/>
              <w:rPr>
                <w:sz w:val="13"/>
                <w:szCs w:val="13"/>
                <w:color w:val="auto"/>
              </w:rPr>
            </w:pPr>
          </w:p>
        </w:tc>
        <w:tc>
          <w:tcPr>
            <w:tcW w:w="3180" w:type="dxa"/>
            <w:vAlign w:val="bottom"/>
          </w:tcPr>
          <w:p>
            <w:pPr>
              <w:jc w:val="right"/>
              <w:spacing w:after="0"/>
              <w:rPr>
                <w:sz w:val="20"/>
                <w:szCs w:val="20"/>
                <w:color w:val="auto"/>
              </w:rPr>
            </w:pPr>
            <w:r>
              <w:rPr>
                <w:rFonts w:ascii="Arial" w:cs="Arial" w:eastAsia="Arial" w:hAnsi="Arial"/>
                <w:sz w:val="12"/>
                <w:szCs w:val="12"/>
                <w:color w:val="auto"/>
              </w:rPr>
              <w:t>1,121</w:t>
            </w:r>
          </w:p>
        </w:tc>
      </w:tr>
      <w:tr>
        <w:trPr>
          <w:trHeight w:val="153"/>
        </w:trPr>
        <w:tc>
          <w:tcPr>
            <w:tcW w:w="7540" w:type="dxa"/>
            <w:vAlign w:val="bottom"/>
            <w:shd w:val="clear" w:color="auto" w:fill="CCEEFF"/>
          </w:tcPr>
          <w:p>
            <w:pPr>
              <w:spacing w:after="0"/>
              <w:rPr>
                <w:sz w:val="20"/>
                <w:szCs w:val="20"/>
                <w:color w:val="auto"/>
              </w:rPr>
            </w:pPr>
            <w:r>
              <w:rPr>
                <w:rFonts w:ascii="Arial" w:cs="Arial" w:eastAsia="Arial" w:hAnsi="Arial"/>
                <w:sz w:val="12"/>
                <w:szCs w:val="12"/>
                <w:color w:val="auto"/>
              </w:rPr>
              <w:t>Payments / credits</w:t>
            </w:r>
          </w:p>
        </w:tc>
        <w:tc>
          <w:tcPr>
            <w:tcW w:w="580" w:type="dxa"/>
            <w:vAlign w:val="bottom"/>
            <w:tcBorders>
              <w:bottom w:val="single" w:sz="8" w:color="auto"/>
            </w:tcBorders>
            <w:shd w:val="clear" w:color="auto" w:fill="CCEEFF"/>
          </w:tcPr>
          <w:p>
            <w:pPr>
              <w:spacing w:after="0"/>
              <w:rPr>
                <w:sz w:val="13"/>
                <w:szCs w:val="13"/>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(995)</w:t>
            </w:r>
          </w:p>
        </w:tc>
      </w:tr>
      <w:tr>
        <w:trPr>
          <w:trHeight w:val="142"/>
        </w:trPr>
        <w:tc>
          <w:tcPr>
            <w:tcW w:w="7540" w:type="dxa"/>
            <w:vAlign w:val="bottom"/>
          </w:tcPr>
          <w:p>
            <w:pPr>
              <w:spacing w:after="0"/>
              <w:rPr>
                <w:sz w:val="20"/>
                <w:szCs w:val="20"/>
                <w:color w:val="auto"/>
              </w:rPr>
            </w:pPr>
            <w:r>
              <w:rPr>
                <w:rFonts w:ascii="Arial" w:cs="Arial" w:eastAsia="Arial" w:hAnsi="Arial"/>
                <w:sz w:val="12"/>
                <w:szCs w:val="12"/>
                <w:color w:val="auto"/>
              </w:rPr>
              <w:t>Balance at September 30, 2022</w:t>
            </w: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w:t>
            </w: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Total reductions of gross product sales from sales-related allowances and accruals were $1,121 for the nine months ended September 30, 2022. Accruals for returns allowances and prompt pay discounts are reflected as a direct reduction of trade receivables and accruals for wholesaler service fees, co-pay support redemptions and rebates as current liabilities. The accrued balances relative to these provisions included in Trade and other receivables, net and Accounts payable and accrued expenses were $731 and $2,229, respectively, as of September 30, 2022 and $605 and $2,224, respectively,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Concentration of Major Customers</w:t>
      </w:r>
    </w:p>
    <w:p>
      <w:pPr>
        <w:spacing w:after="0" w:line="16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Customers are considered major customers when net revenue exceeds 10% of total revenue for the period or outstanding receivable balances exceed 10% of total receivables. For the nine months ended September 30, 2022, Indivor exceeded the 10% threshold for revenue and represented approximately 75% of total revenue. As of September 30, 2022, Indivior and Cardinal Health Inc. exceeded the 10% threshold for outstanding receivables and represented 60% and 12%, respectively, of outstanding receivables. For the nine months ended September 30, 2021, Indivior exceeded the 10% threshold for revenue and represented approximately 73% of total revenue. As of December 31, 2021, two customers exceeded the 10% threshold for outstanding receivables which were Indivior and Cardinal Health Inc. which represented 51% and 12%, respectively, of total trade and other receivables.</w:t>
      </w:r>
    </w:p>
    <w:p>
      <w:pPr>
        <w:spacing w:after="0" w:line="12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0"/>
          <w:szCs w:val="10"/>
          <w:b w:val="1"/>
          <w:bCs w:val="1"/>
          <w:color w:val="auto"/>
        </w:rPr>
        <w:t>Material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Exploitation Agreement with Indivior</w:t>
      </w:r>
    </w:p>
    <w:p>
      <w:pPr>
        <w:spacing w:after="0" w:line="168"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 w:name="page14"/>
    <w:bookmarkEnd w:id="13"/>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Company agreed to manufacture and supply Indivior’s requirements for Suboxone®, a sublingual film formulation, both inside and outside the United States on an exclusive basis.</w:t>
      </w:r>
    </w:p>
    <w:p>
      <w:pPr>
        <w:spacing w:after="0" w:line="15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w:t>
      </w:r>
    </w:p>
    <w:p>
      <w:pPr>
        <w:spacing w:after="0" w:line="119"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2"/>
          <w:szCs w:val="12"/>
          <w:color w:val="auto"/>
        </w:rPr>
        <w:t>The Indivior License Agreement provides for payment by Indivior of a purchase price per unit that is subject to adjustment based on the Company’s ability to satisfy minimum product thresholds. In addition to the purchase price for the Suboxone supplied, Indivior is required to make certain single digit percentage royalty payments tied to net sales (as provided for in the Indivior License Agreement) in each of the United States and in the rest of the world subject to annual maximum amounts and limited to the life of the related United States or international patents. In 2012, Indivior exercised its right to buy out its future royalty obligations in the United States under the Indivior License Agreement. Indivior remains obligated to pay royalties for all sales outside the United States.</w:t>
      </w:r>
    </w:p>
    <w:p>
      <w:pPr>
        <w:spacing w:after="0" w:line="150"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either party provides the other with written notice of its intent not to renew at least one year prior to the expiration of the initial or renewal term.</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Supplemental Agreement with Indivior</w:t>
      </w:r>
    </w:p>
    <w:p>
      <w:pPr>
        <w:spacing w:after="0" w:line="168"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0"/>
          <w:szCs w:val="10"/>
          <w:color w:val="auto"/>
        </w:rPr>
        <w:t>On September 24, 2017, the Company entered into an agreement with Indivior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is entitled to receive certain payments from Indivior commencing on the date of the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are suspended until adjudication of related patent infringement litigation is finalized. If such litigation is successful, in addition to the amounts already received as described in the foregoing, the Company may receive up to an additional $34,250, consisting of (i) up to $33,000 in the aggregate from any combination of (a) performance or event-based milestone payments and (b) single digit percentage royalties on net revenue earned by Indivior on sales of Suboxone and (ii) an additional $1,250 that was earned through the issuance of additional process patent rights to the Company. The aggregate payments under this Indivior Supplemental Agreement are capped at $75,000.</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All payments made by Indivior to the Company pursuant to the Indivior Supplemental Agreement are in addition to, and not in place of, any amounts owed by Indivior to the Company pursuant to the Indivior License Agreement. Indivior’s payment obligations under the Indivior Supplemental Agreement are subject to certain factors affecting the market for Suboxone and may terminate prior to January 1, 2023 in the event certain contingencies relating to that market occur.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Agreement with Sunovion Pharmaceuticals, Inc.</w:t>
      </w:r>
    </w:p>
    <w:p>
      <w:pPr>
        <w:spacing w:after="0" w:line="168"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On April 1, 2016, the Company entered into a license agreement with Cynapsus Therapeutics Inc. (the "Sunovion License Agreement"). Cynapsus Therapeutics was later succeeded to in interest by Sunovion Pharmaceuticals, Inc. ("Sunovion"). Pursuant to the Sunovion License Agreement,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w:t>
      </w:r>
      <w:r>
        <w:rPr>
          <w:rFonts w:ascii="Arial" w:cs="Arial" w:eastAsia="Arial" w:hAnsi="Arial"/>
          <w:sz w:val="15"/>
          <w:szCs w:val="15"/>
          <w:color w:val="auto"/>
          <w:vertAlign w:val="superscript"/>
        </w:rPr>
        <w:t>®</w:t>
      </w:r>
      <w:r>
        <w:rPr>
          <w:rFonts w:ascii="Arial" w:cs="Arial" w:eastAsia="Arial" w:hAnsi="Arial"/>
          <w:sz w:val="12"/>
          <w:szCs w:val="12"/>
          <w:color w:val="auto"/>
        </w:rPr>
        <w:t>, which was approved by the United States Food and Drug Administration (FDA) on May 21, 2020 and commercially launched by Sunovion in September 2020. The FDA approval triggered Sunovion's obligation to remit a payment of $4,000 which was received in September 2020 and was included in License and royalty revenues for the year ended December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 w:name="page15"/>
    <w:bookmarkEnd w:id="14"/>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63" w:lineRule="exact"/>
        <w:rPr>
          <w:sz w:val="20"/>
          <w:szCs w:val="20"/>
          <w:color w:val="auto"/>
        </w:rPr>
      </w:pPr>
    </w:p>
    <w:p>
      <w:pPr>
        <w:jc w:val="both"/>
        <w:ind w:firstLine="432"/>
        <w:spacing w:after="0" w:line="231" w:lineRule="auto"/>
        <w:rPr>
          <w:sz w:val="20"/>
          <w:szCs w:val="20"/>
          <w:color w:val="auto"/>
        </w:rPr>
      </w:pPr>
      <w:r>
        <w:rPr>
          <w:rFonts w:ascii="Arial" w:cs="Arial" w:eastAsia="Arial" w:hAnsi="Arial"/>
          <w:sz w:val="12"/>
          <w:szCs w:val="12"/>
          <w:color w:val="auto"/>
        </w:rPr>
        <w:t>In consideration of the rights granted to Sunovion under the Sunovion License Agreement, the Company has received aggregate payments totaling $22,000 to date. In addition to the upfront payment of $5,000, the Company has also earned an aggregate of $17,000 in connection with specified regulatory and development milestones in the United States and Europe (the “Initial Milestone Payments”). As a result of the Monetization Agreement, the Company is no longer entitled to receive the remaining contingent royalty or milestone payments related to net sales thresholds of KYNMOBI.</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During the second quarter of 2020, the Company recorded minimum royalty revenue of $8,000 for minimum royalties which was reflected in License and royalty revenue.</w:t>
      </w:r>
    </w:p>
    <w:p>
      <w:pPr>
        <w:spacing w:after="0" w:line="14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1"/>
          <w:szCs w:val="11"/>
          <w:color w:val="auto"/>
        </w:rPr>
        <w:t>Effective March 16, 2020, the Company entered into a first amendment (the "First Amendment") to the Sunovion License Agreement. The First Amendment provides for the following: (i) inclusion of the United Kingdom and any other country currently in the European Union (EU) that later withdraws as a member country of the EU for purpose of determining the satisfaction of the condition triggering the obligation to pay the third milestone due under the Sunovion License Agreement, (ii) extension of the date after which Sunovion has the right to terminate the Sunovion License Agreement for convenience from December 31 2024 to March 31, 2028, (iii) modification of the effective inception date of the first minimum annual royalty due from Sunovion to the Company from January 1, 2020 to April 1, 2020, and (iv) modification of the termination provisions to reflect the Company's waiver of the right to terminate the Sunovion License Agreement in the event that KYNMOBI was not commercialized by January 1, 2020. The Sunovion License Agreement will continue until terminated by Sunovion in accordance with the termination provisions of the First Amendment. The Sunovion License Agreement continues (on a country-by-country basis) until the expiration of all applicable licensed patents. Upon termination of the Sunovion License Agreement, all rights to intellectual property granted to Sunovion to develop and commercialize apomorphine-based products will revert to the Company.</w:t>
      </w:r>
    </w:p>
    <w:p>
      <w:pPr>
        <w:spacing w:after="0" w:line="13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On October 23, 2020, the Company entered into a Second Amendment to the Sunovion License Agreement for the purpose of clarifying the rights and obligations of Sunovion and the Company with respect to the prosecution and maintenance of the patents covered under the Sunovion License Agreement and to provide that, on and after March 31, 2028, in respect of any jurisdiction or jurisdictions covered under the Sunovion License Agreement, Sunovion may terminate its rights to the licensed Patents under the Sunovion License Agreement upon 180 days prior written notice.</w:t>
      </w:r>
    </w:p>
    <w:p>
      <w:pPr>
        <w:spacing w:after="0" w:line="150"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Effective as of July 23, 2021, the Company entered into a Third Amendment to the Sunovion License Agreement for the purpose of clarifying the definition of the term "Field" and certain sublicense rights and obligations of the parties under the Sunovion License Agreement, including the rights of European sublicensees upon termination of the Sunovion License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and Sale Agreement with an affiliate of Marathon Asset Management ("Marathon")</w:t>
      </w:r>
    </w:p>
    <w:p>
      <w:pPr>
        <w:spacing w:after="0" w:line="168"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0"/>
          <w:szCs w:val="10"/>
          <w:color w:val="auto"/>
        </w:rPr>
        <w:t>On November 3, 2020, the Company entered into a Purchase and Sale Agreement (the "Monetization Agreement") with MAM Pangolin Royalty, LLC, an affiliate of Marathon Asset Management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September 30, 2022 under the Monetization Agreement.</w:t>
      </w:r>
    </w:p>
    <w:p>
      <w:pPr>
        <w:spacing w:after="0" w:line="11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September 30, 2022, the Company may not receive any of the additional aggregate contingent payments under the Monetization agreement. See Note 15 Sale of Future Revenue for further details on the accounting for the Monetization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Agreement to Terminate CLA with KemPharm</w:t>
      </w:r>
    </w:p>
    <w:p>
      <w:pPr>
        <w:spacing w:after="0" w:line="168"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In March 2012, the Company entered into an agreement with KemPharm, Inc. (“KemPharm”), to terminate a Collaboration and License Agreement entered into by the Company and KemPharm in April 2011. Under the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The Company received payment of $500 under this arrangement during June 2020 in connection with the FDA's acceptance of a New Drug Application ("NDA") filing for KP-415. On March 2, 2021 KemPharm announced FDA approval of KP 415 (AZTARYS</w:t>
      </w:r>
      <w:r>
        <w:rPr>
          <w:rFonts w:ascii="Arial" w:cs="Arial" w:eastAsia="Arial" w:hAnsi="Arial"/>
          <w:sz w:val="15"/>
          <w:szCs w:val="15"/>
          <w:color w:val="auto"/>
          <w:vertAlign w:val="superscript"/>
        </w:rPr>
        <w:t>TM</w:t>
      </w:r>
      <w:r>
        <w:rPr>
          <w:rFonts w:ascii="Arial" w:cs="Arial" w:eastAsia="Arial" w:hAnsi="Arial"/>
          <w:sz w:val="12"/>
          <w:szCs w:val="12"/>
          <w:color w:val="auto"/>
        </w:rPr>
        <w:t>) a new once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5" w:name="page16"/>
    <w:bookmarkEnd w:id="15"/>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daily treatment for ADHD. During the second quarter of 2021, the Company received $2,000 of milestone payments in connection with the FDA approval and other regulatory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Licensing and Supply Agreement with Haisco for Exservan</w:t>
      </w:r>
      <w:r>
        <w:rPr>
          <w:rFonts w:ascii="Arial" w:cs="Arial" w:eastAsia="Arial" w:hAnsi="Arial"/>
          <w:sz w:val="12"/>
          <w:szCs w:val="12"/>
          <w:color w:val="auto"/>
        </w:rPr>
        <w:t>™</w:t>
      </w:r>
      <w:r>
        <w:rPr>
          <w:rFonts w:ascii="Arial" w:cs="Arial" w:eastAsia="Arial" w:hAnsi="Arial"/>
          <w:sz w:val="12"/>
          <w:szCs w:val="12"/>
          <w:i w:val="1"/>
          <w:iCs w:val="1"/>
          <w:color w:val="auto"/>
        </w:rPr>
        <w:t xml:space="preserve"> (Riluzole Oral Film) for ALS Treatment in China</w:t>
      </w:r>
    </w:p>
    <w:p>
      <w:pPr>
        <w:spacing w:after="0" w:line="159"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The Company entered into a License, Development and Supply Agreement with Haisco, a Chinese limited company listed on the Shenzhen Stock Exchange, effective as of March 3, 2022 ("Haisco Agreement"), pursuant to which Aquestive granted Haisco an exclusive license to develop and commercialize Exservan™ (riluzole oral film) for the treatment of amyotrophic lateral sclerosis, or ALS (“Exservan"), in China. Under the terms of the Haisco Agreement, Aquestive will serve as the exclusive sole manufacturer and supplier for Exservan in China. Under the Haisco Agreement, as amended, the Company received a $7,000 upfront cash payment, and will receive regulatory milestone payments, receive double-digit royalties on net sales of Exservan in China, and earn manufacturing revenue upon the sale of Exservan in China.</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Compensatory Arrangements of Certain Officers</w:t>
      </w:r>
    </w:p>
    <w:p>
      <w:pPr>
        <w:spacing w:after="0" w:line="1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1"/>
          <w:szCs w:val="11"/>
          <w:color w:val="auto"/>
        </w:rPr>
        <w:t>On May 17, 2022, the Company announced that Keith J. Kendall, President and Chief Executive Officer of the Company, was leaving the Company and the Company's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Under the Separation Agreement, Mr. Kendall received the following principal severance benefits, contingent upon Mr. Kendall's execution and delivery of a customary release of claims: (i) a cash payment consisting of the sum of any previously unpaid base salary through 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18-month severance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will serve as a consultant to the Company, on an as-needed basis providing transition services, strategic planning, financial planning, merger and acquisition advice and consultation, for a period from the Separation Date to December 31, 2022. For these services, Mr. Kendall will receive a consulting fee of $10 per month.</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Licensing and Supply Agreement with Atnahs Pharma UK Limited</w:t>
      </w:r>
    </w:p>
    <w:p>
      <w:pPr>
        <w:spacing w:after="0" w:line="159"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1"/>
          <w:szCs w:val="11"/>
          <w:color w:val="auto"/>
        </w:rPr>
        <w:t>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(diazepam) Buccal Film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will receive additional milestone payments upon the occurrence of certain conditions set forth in the Pharmanovia Agreement, additional milestone payments and profit shares, as well as manufacturing fees and royalty fees through the expiration of the Pharmanovia Agreement.</w:t>
      </w:r>
    </w:p>
    <w:p>
      <w:pPr>
        <w:spacing w:after="0" w:line="14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0"/>
          <w:szCs w:val="10"/>
          <w:b w:val="1"/>
          <w:bCs w:val="1"/>
          <w:color w:val="auto"/>
        </w:rPr>
        <w:t>Financial Instruments – Fair Value Measurements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2" w:lineRule="exact"/>
        <w:rPr>
          <w:sz w:val="20"/>
          <w:szCs w:val="20"/>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1 — Observable quoted prices in active markets for identical assets or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6" w:name="page17"/>
    <w:bookmarkEnd w:id="16"/>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2 — Observable prices that are based on inputs not quoted on active markets but corroborated by market data.</w:t>
      </w:r>
    </w:p>
    <w:p>
      <w:pPr>
        <w:spacing w:after="0" w:line="150"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3 — Unobservable inputs that are supported by little or no market activity, such as pricing models, discounted cash flow methodologies and similar techniques.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granted warrants to certain note 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 Warrants for further information on these warrants.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12.5% Senior Secured Notes contain a repurchase offer or put option which gives holders of the option the right, but not the obligation, to require the Company to redeem the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12.5% Senior Secured Notes and Loans Payable for further discussion.</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 Warrants for further information on these warrants.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40" w:type="dxa"/>
            <w:vAlign w:val="bottom"/>
          </w:tcPr>
          <w:p>
            <w:pPr>
              <w:spacing w:after="0"/>
              <w:rPr>
                <w:sz w:val="20"/>
                <w:szCs w:val="20"/>
                <w:color w:val="auto"/>
              </w:rPr>
            </w:pPr>
            <w:r>
              <w:rPr>
                <w:rFonts w:ascii="Arial" w:cs="Arial" w:eastAsia="Arial" w:hAnsi="Arial"/>
                <w:sz w:val="12"/>
                <w:szCs w:val="12"/>
                <w:b w:val="1"/>
                <w:bCs w:val="1"/>
                <w:color w:val="auto"/>
              </w:rPr>
              <w:t>Note 7.  Inventories, Net</w:t>
            </w: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06"/>
        </w:trPr>
        <w:tc>
          <w:tcPr>
            <w:tcW w:w="8140" w:type="dxa"/>
            <w:vAlign w:val="bottom"/>
          </w:tcPr>
          <w:p>
            <w:pPr>
              <w:spacing w:after="0"/>
              <w:rPr>
                <w:sz w:val="20"/>
                <w:szCs w:val="20"/>
                <w:color w:val="auto"/>
              </w:rPr>
            </w:pPr>
            <w:r>
              <w:rPr>
                <w:rFonts w:ascii="Arial" w:cs="Arial" w:eastAsia="Arial" w:hAnsi="Arial"/>
                <w:sz w:val="12"/>
                <w:szCs w:val="12"/>
                <w:color w:val="auto"/>
              </w:rPr>
              <w:t>The components of Inventory, net are as follows:</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8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r>
      <w:tr>
        <w:trPr>
          <w:trHeight w:val="145"/>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Raw material</w:t>
            </w:r>
          </w:p>
        </w:tc>
        <w:tc>
          <w:tcPr>
            <w:tcW w:w="1160" w:type="dxa"/>
            <w:vAlign w:val="bottom"/>
            <w:shd w:val="clear" w:color="auto" w:fill="CCEEFF"/>
          </w:tcPr>
          <w:p>
            <w:pPr>
              <w:jc w:val="right"/>
              <w:ind w:right="104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1,734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Packaging material</w:t>
            </w:r>
          </w:p>
        </w:tc>
        <w:tc>
          <w:tcPr>
            <w:tcW w:w="1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2,995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1,414</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1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1,996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1,182</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Total inventory, net</w:t>
            </w:r>
          </w:p>
        </w:tc>
        <w:tc>
          <w:tcPr>
            <w:tcW w:w="1160" w:type="dxa"/>
            <w:vAlign w:val="bottom"/>
            <w:tcBorders>
              <w:bottom w:val="single" w:sz="8" w:color="auto"/>
            </w:tcBorders>
          </w:tcPr>
          <w:p>
            <w:pPr>
              <w:jc w:val="right"/>
              <w:ind w:right="1046"/>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6,725</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4,038</w:t>
            </w:r>
          </w:p>
        </w:tc>
      </w:tr>
      <w:tr>
        <w:trPr>
          <w:trHeight w:val="20"/>
        </w:trPr>
        <w:tc>
          <w:tcPr>
            <w:tcW w:w="8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7" w:name="page18"/>
    <w:bookmarkEnd w:id="17"/>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80" w:type="dxa"/>
            <w:vAlign w:val="bottom"/>
          </w:tcPr>
          <w:p>
            <w:pPr>
              <w:spacing w:after="0"/>
              <w:rPr>
                <w:sz w:val="20"/>
                <w:szCs w:val="20"/>
                <w:color w:val="auto"/>
              </w:rPr>
            </w:pPr>
            <w:r>
              <w:rPr>
                <w:rFonts w:ascii="Arial" w:cs="Arial" w:eastAsia="Arial" w:hAnsi="Arial"/>
                <w:sz w:val="12"/>
                <w:szCs w:val="12"/>
                <w:b w:val="1"/>
                <w:bCs w:val="1"/>
                <w:color w:val="auto"/>
              </w:rPr>
              <w:t>Note 8.  Property and Equipment, Net</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60"/>
        </w:trPr>
        <w:tc>
          <w:tcPr>
            <w:tcW w:w="668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Useful</w:t>
            </w:r>
          </w:p>
        </w:tc>
        <w:tc>
          <w:tcPr>
            <w:tcW w:w="22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24"/>
                <w:szCs w:val="24"/>
                <w:color w:val="auto"/>
              </w:rPr>
            </w:pPr>
          </w:p>
        </w:tc>
        <w:tc>
          <w:tcPr>
            <w:tcW w:w="128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66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Lives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r>
      <w:tr>
        <w:trPr>
          <w:trHeight w:val="145"/>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Machinery</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3-15 years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19,250</w:t>
            </w: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Furniture and fixtures</w:t>
            </w: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3-15 years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769</w:t>
            </w: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1"/>
              </w:rPr>
              <w:t>(a)</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21,265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21,265</w:t>
            </w: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Computer, network equipment and software</w:t>
            </w: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3-7 years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2,469</w:t>
            </w: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1,162</w:t>
            </w:r>
          </w:p>
        </w:tc>
      </w:tr>
      <w:tr>
        <w:trPr>
          <w:trHeight w:val="142"/>
        </w:trPr>
        <w:tc>
          <w:tcPr>
            <w:tcW w:w="6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45,913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44,915</w:t>
            </w: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 and amortization</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(41,629)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(39,860)</w:t>
            </w:r>
          </w:p>
        </w:tc>
      </w:tr>
      <w:tr>
        <w:trPr>
          <w:trHeight w:val="142"/>
        </w:trPr>
        <w:tc>
          <w:tcPr>
            <w:tcW w:w="6680" w:type="dxa"/>
            <w:vAlign w:val="bottom"/>
          </w:tcPr>
          <w:p>
            <w:pPr>
              <w:spacing w:after="0"/>
              <w:rPr>
                <w:sz w:val="20"/>
                <w:szCs w:val="20"/>
                <w:color w:val="auto"/>
              </w:rPr>
            </w:pPr>
            <w:r>
              <w:rPr>
                <w:rFonts w:ascii="Arial" w:cs="Arial" w:eastAsia="Arial" w:hAnsi="Arial"/>
                <w:sz w:val="12"/>
                <w:szCs w:val="12"/>
                <w:color w:val="auto"/>
              </w:rPr>
              <w:t>Total property and equipment, net</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4,284</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5,055</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Leasehold improvements are amortized over the shorter of the lease term or their estimated useful lives.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Total depreciation, amortization, and impairment related to property and equipment was $557 and $724 for the three-month periods ended September 30, 2022 and 2021, respectively. For the nine months ended September 30, 2022 and 2021, these expenses totaled $1,926 and $2,195, respectively.</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0"/>
          <w:szCs w:val="10"/>
          <w:b w:val="1"/>
          <w:bCs w:val="1"/>
          <w:color w:val="auto"/>
        </w:rPr>
        <w:t>Right-of-Use Assets and Lease Obligations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leases all realty used as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provide remaining terms between 0.5 and 4.0 years, including renewal options expected to be exercised to extend the lease periods.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of associated with the Company's short-term leases, as well as variable costs relating to the Company's lease arrangements, are not material to the consolidated financial results.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an estimated discount rate of 16.9% applied to minimum lease payments, including expected renewals, based on the incremental borrowing rate experienced in the Company’s collateralized debt refinancing.</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Right-of-use assets recorded upon adoption of ASC 842 totaled $4,048. The Company's lease costs are recorded in manufacture and supply, research and development and selling, general and administrative expenses in its consolidated statements of income. For the three and nine-months ended September 30, 2022, total operating lease expenses totaled $424 and $1,267, respectively, including variable lease expenses such as common area maintenance and operating costs of $110 and $333, respectively. For the three and nine-months ended September 30, 2021, total operating lease expenses totaled $431 and $1,294, respectively, including variable lease expenses such as common area maintenance and operating costs of $117 and $352,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 w:name="page19"/>
    <w:bookmarkEnd w:id="18"/>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20"/>
                <w:szCs w:val="20"/>
                <w:color w:val="auto"/>
              </w:rPr>
            </w:pPr>
            <w:r>
              <w:rPr>
                <w:rFonts w:ascii="Arial" w:cs="Arial" w:eastAsia="Arial" w:hAnsi="Arial"/>
                <w:sz w:val="12"/>
                <w:szCs w:val="12"/>
                <w:color w:val="auto"/>
              </w:rPr>
              <w:t>Maturities of the Company’s operating lease liabilities are as follows:</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Remainder of 2022</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53"/>
        </w:trPr>
        <w:tc>
          <w:tcPr>
            <w:tcW w:w="8100" w:type="dxa"/>
            <w:vAlign w:val="bottom"/>
          </w:tcPr>
          <w:p>
            <w:pPr>
              <w:spacing w:after="0"/>
              <w:rPr>
                <w:sz w:val="20"/>
                <w:szCs w:val="20"/>
                <w:color w:val="auto"/>
              </w:rPr>
            </w:pPr>
            <w:r>
              <w:rPr>
                <w:rFonts w:ascii="Arial" w:cs="Arial" w:eastAsia="Arial" w:hAnsi="Arial"/>
                <w:sz w:val="12"/>
                <w:szCs w:val="12"/>
                <w:color w:val="auto"/>
              </w:rPr>
              <w:t>2023</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53"/>
        </w:trPr>
        <w:tc>
          <w:tcPr>
            <w:tcW w:w="8100" w:type="dxa"/>
            <w:vAlign w:val="bottom"/>
          </w:tcPr>
          <w:p>
            <w:pPr>
              <w:spacing w:after="0"/>
              <w:rPr>
                <w:sz w:val="20"/>
                <w:szCs w:val="20"/>
                <w:color w:val="auto"/>
              </w:rPr>
            </w:pPr>
            <w:r>
              <w:rPr>
                <w:rFonts w:ascii="Arial" w:cs="Arial" w:eastAsia="Arial" w:hAnsi="Arial"/>
                <w:sz w:val="12"/>
                <w:szCs w:val="12"/>
                <w:color w:val="auto"/>
              </w:rPr>
              <w:t>2025</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42"/>
        </w:trPr>
        <w:tc>
          <w:tcPr>
            <w:tcW w:w="8100" w:type="dxa"/>
            <w:vAlign w:val="bottom"/>
          </w:tcPr>
          <w:p>
            <w:pPr>
              <w:ind w:left="80"/>
              <w:spacing w:after="0" w:line="133" w:lineRule="exact"/>
              <w:rPr>
                <w:sz w:val="20"/>
                <w:szCs w:val="20"/>
                <w:color w:val="auto"/>
              </w:rPr>
            </w:pPr>
            <w:r>
              <w:rPr>
                <w:rFonts w:ascii="Arial" w:cs="Arial" w:eastAsia="Arial" w:hAnsi="Arial"/>
                <w:sz w:val="12"/>
                <w:szCs w:val="12"/>
                <w:color w:val="auto"/>
              </w:rPr>
              <w:t>Total future lease payments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2,822</w:t>
            </w:r>
          </w:p>
        </w:tc>
        <w:tc>
          <w:tcPr>
            <w:tcW w:w="0" w:type="dxa"/>
            <w:vAlign w:val="bottom"/>
          </w:tcPr>
          <w:p>
            <w:pPr>
              <w:spacing w:after="0"/>
              <w:rPr>
                <w:sz w:val="1"/>
                <w:szCs w:val="1"/>
                <w:color w:val="auto"/>
              </w:rPr>
            </w:pPr>
          </w:p>
        </w:tc>
      </w:tr>
      <w:tr>
        <w:trPr>
          <w:trHeight w:val="15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Less: imputed interest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w:t>
            </w:r>
          </w:p>
        </w:tc>
        <w:tc>
          <w:tcPr>
            <w:tcW w:w="0" w:type="dxa"/>
            <w:vAlign w:val="bottom"/>
          </w:tcPr>
          <w:p>
            <w:pPr>
              <w:spacing w:after="0"/>
              <w:rPr>
                <w:sz w:val="1"/>
                <w:szCs w:val="1"/>
                <w:color w:val="auto"/>
              </w:rPr>
            </w:pPr>
          </w:p>
        </w:tc>
      </w:tr>
      <w:tr>
        <w:trPr>
          <w:trHeight w:val="142"/>
        </w:trPr>
        <w:tc>
          <w:tcPr>
            <w:tcW w:w="8100" w:type="dxa"/>
            <w:vAlign w:val="bottom"/>
          </w:tcPr>
          <w:p>
            <w:pPr>
              <w:spacing w:after="0" w:line="133" w:lineRule="exact"/>
              <w:rPr>
                <w:sz w:val="20"/>
                <w:szCs w:val="20"/>
                <w:color w:val="auto"/>
              </w:rPr>
            </w:pPr>
            <w:r>
              <w:rPr>
                <w:rFonts w:ascii="Arial" w:cs="Arial" w:eastAsia="Arial" w:hAnsi="Arial"/>
                <w:sz w:val="12"/>
                <w:szCs w:val="12"/>
                <w:color w:val="auto"/>
              </w:rPr>
              <w:t>Total operating lease liabilities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2,186</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2"/>
                <w:szCs w:val="12"/>
                <w:b w:val="1"/>
                <w:bCs w:val="1"/>
                <w:color w:val="auto"/>
              </w:rPr>
              <w:t>Note 10.  Intangible Assets, Net</w:t>
            </w: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100" w:type="dxa"/>
            <w:vAlign w:val="bottom"/>
          </w:tcPr>
          <w:p>
            <w:pPr>
              <w:spacing w:after="0"/>
              <w:rPr>
                <w:sz w:val="20"/>
                <w:szCs w:val="20"/>
                <w:color w:val="auto"/>
              </w:rPr>
            </w:pPr>
            <w:r>
              <w:rPr>
                <w:rFonts w:ascii="Arial" w:cs="Arial" w:eastAsia="Arial" w:hAnsi="Arial"/>
                <w:sz w:val="12"/>
                <w:szCs w:val="12"/>
                <w:color w:val="auto"/>
              </w:rPr>
              <w:t>The following table provides the components of identifiable intangible assets, all of which are finite lived: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24"/>
                <w:szCs w:val="24"/>
                <w:color w:val="auto"/>
              </w:rPr>
            </w:pPr>
          </w:p>
        </w:tc>
        <w:tc>
          <w:tcPr>
            <w:tcW w:w="128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8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45"/>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Purchased intangible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w:t>
            </w:r>
          </w:p>
        </w:tc>
        <w:tc>
          <w:tcPr>
            <w:tcW w:w="0" w:type="dxa"/>
            <w:vAlign w:val="bottom"/>
          </w:tcPr>
          <w:p>
            <w:pPr>
              <w:spacing w:after="0"/>
              <w:rPr>
                <w:sz w:val="1"/>
                <w:szCs w:val="1"/>
                <w:color w:val="auto"/>
              </w:rPr>
            </w:pPr>
          </w:p>
        </w:tc>
      </w:tr>
      <w:tr>
        <w:trPr>
          <w:trHeight w:val="153"/>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Purchased patent</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42"/>
        </w:trPr>
        <w:tc>
          <w:tcPr>
            <w:tcW w:w="8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2,867</w:t>
            </w:r>
          </w:p>
        </w:tc>
        <w:tc>
          <w:tcPr>
            <w:tcW w:w="0" w:type="dxa"/>
            <w:vAlign w:val="bottom"/>
          </w:tcPr>
          <w:p>
            <w:pPr>
              <w:spacing w:after="0"/>
              <w:rPr>
                <w:sz w:val="1"/>
                <w:szCs w:val="1"/>
                <w:color w:val="auto"/>
              </w:rPr>
            </w:pPr>
          </w:p>
        </w:tc>
      </w:tr>
      <w:tr>
        <w:trPr>
          <w:trHeight w:val="153"/>
        </w:trPr>
        <w:tc>
          <w:tcPr>
            <w:tcW w:w="8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amortization</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(2,816)</w:t>
            </w:r>
          </w:p>
        </w:tc>
        <w:tc>
          <w:tcPr>
            <w:tcW w:w="0" w:type="dxa"/>
            <w:vAlign w:val="bottom"/>
          </w:tcPr>
          <w:p>
            <w:pPr>
              <w:spacing w:after="0"/>
              <w:rPr>
                <w:sz w:val="1"/>
                <w:szCs w:val="1"/>
                <w:color w:val="auto"/>
              </w:rPr>
            </w:pPr>
          </w:p>
        </w:tc>
      </w:tr>
      <w:tr>
        <w:trPr>
          <w:trHeight w:val="158"/>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Amortization expense was $39 and $13 for each of the three-month periods ended September 30, 2022 and 2021. For the nine months ended September 30, 2022 and 2021, these expenses totaled $64 and $38, respectively. During the remaining life of the purchased intangible assets, estimated amortization expense is $50 in the remainder of 2022 and $150 in 2023,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20"/>
                <w:szCs w:val="20"/>
                <w:color w:val="auto"/>
              </w:rPr>
            </w:pPr>
            <w:r>
              <w:rPr>
                <w:rFonts w:ascii="Arial" w:cs="Arial" w:eastAsia="Arial" w:hAnsi="Arial"/>
                <w:sz w:val="12"/>
                <w:szCs w:val="12"/>
                <w:b w:val="1"/>
                <w:bCs w:val="1"/>
                <w:color w:val="auto"/>
              </w:rPr>
              <w:t>Note 11.  Other non-current Assets</w:t>
            </w: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06"/>
        </w:trPr>
        <w:tc>
          <w:tcPr>
            <w:tcW w:w="7720" w:type="dxa"/>
            <w:vAlign w:val="bottom"/>
          </w:tcPr>
          <w:p>
            <w:pPr>
              <w:spacing w:after="0"/>
              <w:rPr>
                <w:sz w:val="20"/>
                <w:szCs w:val="20"/>
                <w:color w:val="auto"/>
              </w:rPr>
            </w:pPr>
            <w:r>
              <w:rPr>
                <w:rFonts w:ascii="Arial" w:cs="Arial" w:eastAsia="Arial" w:hAnsi="Arial"/>
                <w:sz w:val="12"/>
                <w:szCs w:val="12"/>
                <w:color w:val="auto"/>
              </w:rPr>
              <w:t>The following table provides the components of other non-current assets: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7720" w:type="dxa"/>
            <w:vAlign w:val="bottom"/>
          </w:tcPr>
          <w:p>
            <w:pPr>
              <w:spacing w:after="0"/>
              <w:rPr>
                <w:sz w:val="24"/>
                <w:szCs w:val="24"/>
                <w:color w:val="auto"/>
              </w:rPr>
            </w:pPr>
          </w:p>
        </w:tc>
        <w:tc>
          <w:tcPr>
            <w:tcW w:w="1180" w:type="dxa"/>
            <w:vAlign w:val="bottom"/>
          </w:tcPr>
          <w:p>
            <w:pPr>
              <w:jc w:val="center"/>
              <w:ind w:left="300"/>
              <w:spacing w:after="0"/>
              <w:rPr>
                <w:sz w:val="20"/>
                <w:szCs w:val="20"/>
                <w:color w:val="auto"/>
              </w:rPr>
            </w:pPr>
            <w:r>
              <w:rPr>
                <w:rFonts w:ascii="Arial" w:cs="Arial" w:eastAsia="Arial" w:hAnsi="Arial"/>
                <w:sz w:val="12"/>
                <w:szCs w:val="12"/>
                <w:b w:val="1"/>
                <w:bCs w:val="1"/>
                <w:color w:val="auto"/>
                <w:w w:val="90"/>
              </w:rPr>
              <w:t>September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7720" w:type="dxa"/>
            <w:vAlign w:val="bottom"/>
          </w:tcPr>
          <w:p>
            <w:pPr>
              <w:spacing w:after="0"/>
              <w:rPr>
                <w:sz w:val="13"/>
                <w:szCs w:val="13"/>
                <w:color w:val="auto"/>
              </w:rPr>
            </w:pPr>
          </w:p>
        </w:tc>
        <w:tc>
          <w:tcPr>
            <w:tcW w:w="1180" w:type="dxa"/>
            <w:vAlign w:val="bottom"/>
          </w:tcPr>
          <w:p>
            <w:pPr>
              <w:jc w:val="right"/>
              <w:ind w:right="220"/>
              <w:spacing w:after="0"/>
              <w:rPr>
                <w:sz w:val="20"/>
                <w:szCs w:val="20"/>
                <w:color w:val="auto"/>
              </w:rPr>
            </w:pPr>
            <w:r>
              <w:rPr>
                <w:rFonts w:ascii="Arial" w:cs="Arial" w:eastAsia="Arial" w:hAnsi="Arial"/>
                <w:sz w:val="12"/>
                <w:szCs w:val="12"/>
                <w:b w:val="1"/>
                <w:bCs w:val="1"/>
                <w:color w:val="auto"/>
              </w:rPr>
              <w:t>2022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600"/>
              <w:spacing w:after="0"/>
              <w:rPr>
                <w:sz w:val="20"/>
                <w:szCs w:val="20"/>
                <w:color w:val="auto"/>
              </w:rPr>
            </w:pPr>
            <w:r>
              <w:rPr>
                <w:rFonts w:ascii="Arial" w:cs="Arial" w:eastAsia="Arial" w:hAnsi="Arial"/>
                <w:sz w:val="12"/>
                <w:szCs w:val="12"/>
                <w:b w:val="1"/>
                <w:bCs w:val="1"/>
                <w:color w:val="auto"/>
              </w:rPr>
              <w:t>2021</w:t>
            </w:r>
          </w:p>
        </w:tc>
      </w:tr>
      <w:tr>
        <w:trPr>
          <w:trHeight w:val="156"/>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Royalty receivable</w:t>
            </w: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w:t>
            </w:r>
          </w:p>
        </w:tc>
      </w:tr>
      <w:tr>
        <w:trPr>
          <w:trHeight w:val="153"/>
        </w:trPr>
        <w:tc>
          <w:tcPr>
            <w:tcW w:w="7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r>
      <w:tr>
        <w:trPr>
          <w:trHeight w:val="158"/>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non-current assets</w:t>
            </w:r>
          </w:p>
        </w:tc>
        <w:tc>
          <w:tcPr>
            <w:tcW w:w="118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5,893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6,903</w:t>
            </w:r>
          </w:p>
        </w:tc>
      </w:tr>
    </w:tbl>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the second quarter of 2020, under the Sunovion License Agreement, the Company recognized $8,000 of royalty revenue and corresponding royalty receivable, related to the eight $1,000 annual minimum guaranteed royalty that is due. In connection with the Monetization Agreement, the Company performed an assessment under ASC 860 Transfer and Servicing 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15 Sale of Future Revenue for further details on how this receivable relates to the Monetization Agreement transaction.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9" w:name="page20"/>
    <w:bookmarkEnd w:id="19"/>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40" w:type="dxa"/>
            <w:vAlign w:val="bottom"/>
          </w:tcPr>
          <w:p>
            <w:pPr>
              <w:spacing w:after="0"/>
              <w:rPr>
                <w:sz w:val="20"/>
                <w:szCs w:val="20"/>
                <w:color w:val="auto"/>
              </w:rPr>
            </w:pPr>
            <w:r>
              <w:rPr>
                <w:rFonts w:ascii="Arial" w:cs="Arial" w:eastAsia="Arial" w:hAnsi="Arial"/>
                <w:sz w:val="12"/>
                <w:szCs w:val="12"/>
                <w:b w:val="1"/>
                <w:bCs w:val="1"/>
                <w:color w:val="auto"/>
              </w:rPr>
              <w:t>Note 12.  Accrued Expenses</w:t>
            </w: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06"/>
        </w:trPr>
        <w:tc>
          <w:tcPr>
            <w:tcW w:w="8140" w:type="dxa"/>
            <w:vAlign w:val="bottom"/>
          </w:tcPr>
          <w:p>
            <w:pPr>
              <w:spacing w:after="0"/>
              <w:rPr>
                <w:sz w:val="20"/>
                <w:szCs w:val="20"/>
                <w:color w:val="auto"/>
              </w:rPr>
            </w:pPr>
            <w:r>
              <w:rPr>
                <w:rFonts w:ascii="Arial" w:cs="Arial" w:eastAsia="Arial" w:hAnsi="Arial"/>
                <w:sz w:val="12"/>
                <w:szCs w:val="12"/>
                <w:color w:val="auto"/>
              </w:rPr>
              <w:t>Accrued expenses consisted of the following:</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8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r>
      <w:tr>
        <w:trPr>
          <w:trHeight w:val="145"/>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Accrued compensation</w:t>
            </w:r>
          </w:p>
        </w:tc>
        <w:tc>
          <w:tcPr>
            <w:tcW w:w="1160" w:type="dxa"/>
            <w:vAlign w:val="bottom"/>
            <w:shd w:val="clear" w:color="auto" w:fill="CCEEFF"/>
          </w:tcPr>
          <w:p>
            <w:pPr>
              <w:jc w:val="right"/>
              <w:ind w:right="104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4,939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5,965</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Real estate and personal property taxes</w:t>
            </w:r>
          </w:p>
        </w:tc>
        <w:tc>
          <w:tcPr>
            <w:tcW w:w="1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351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349</w:t>
            </w:r>
          </w:p>
        </w:tc>
      </w:tr>
      <w:tr>
        <w:trPr>
          <w:trHeight w:val="153"/>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Accrued distribution expenses</w:t>
            </w:r>
          </w:p>
        </w:tc>
        <w:tc>
          <w:tcPr>
            <w:tcW w:w="1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2,229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w:t>
            </w:r>
          </w:p>
        </w:tc>
      </w:tr>
      <w:tr>
        <w:trPr>
          <w:trHeight w:val="153"/>
        </w:trPr>
        <w:tc>
          <w:tcPr>
            <w:tcW w:w="8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w:t>
            </w:r>
          </w:p>
        </w:tc>
      </w:tr>
      <w:tr>
        <w:trPr>
          <w:trHeight w:val="158"/>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accrued expenses</w:t>
            </w:r>
          </w:p>
        </w:tc>
        <w:tc>
          <w:tcPr>
            <w:tcW w:w="1160" w:type="dxa"/>
            <w:vAlign w:val="bottom"/>
            <w:tcBorders>
              <w:bottom w:val="single" w:sz="8" w:color="auto"/>
            </w:tcBorders>
            <w:shd w:val="clear" w:color="auto" w:fill="CCEEFF"/>
          </w:tcPr>
          <w:p>
            <w:pPr>
              <w:jc w:val="right"/>
              <w:ind w:right="1046"/>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7,733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8,736</w:t>
            </w:r>
          </w:p>
        </w:tc>
      </w:tr>
    </w:tbl>
    <w:p>
      <w:pPr>
        <w:spacing w:after="0" w:line="203"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0"/>
          <w:szCs w:val="10"/>
          <w:b w:val="1"/>
          <w:bCs w:val="1"/>
          <w:color w:val="auto"/>
        </w:rPr>
        <w:t>12.5 % Senior Secured Notes and Loans Payable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12.5% Senior Secured Notes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July 15, 2019, the Company completed a private placement of up to $100,000 aggregate principal of its 12.5% Senior Secured Notes due 2025 (the “12.5% Notes”) and issued warrants for 2,000,000 shares of Common Stock (the “Warrants”), at $0.001 par value per share.</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Senior Notes outstanding in the aggregate to $51,500 at December 31, 2020, and such aggregate principal amount remains outstanding as of September 30, 2022. The $4,000 principal issuance will be repaid proportionally over the same maturities as the other 12.5% Notes. The Company also paid to one of its lenders a $2,250 premium as result of the early retirement of debt.</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accounted for the $22,500 debt repayment as a debt modification of the 12.5% Notes. The fees paid to lenders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142"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 xml:space="preserve">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September 30, 2022. Based on the valuation study, the put option was valued at $108 and has been recorded in Other non-current liabilities. The embedded put option is deemed to be a derivative under </w:t>
      </w:r>
      <w:r>
        <w:rPr>
          <w:rFonts w:ascii="Arial" w:cs="Arial" w:eastAsia="Arial" w:hAnsi="Arial"/>
          <w:sz w:val="10"/>
          <w:szCs w:val="10"/>
          <w:i w:val="1"/>
          <w:iCs w:val="1"/>
          <w:color w:val="auto"/>
        </w:rPr>
        <w:t>ASC 815 Derivatives and Hedging</w:t>
      </w:r>
      <w:r>
        <w:rPr>
          <w:rFonts w:ascii="Arial" w:cs="Arial" w:eastAsia="Arial" w:hAnsi="Arial"/>
          <w:sz w:val="10"/>
          <w:szCs w:val="10"/>
          <w:color w:val="auto"/>
        </w:rPr>
        <w:t>, which requires the recording of the embedded put option at fair value and subject to remeasurement at each reporting period. In addition, as of the closing of this transaction, the Company issued to the holders of the 12.5% Notes warrants to purchase 143,000 shares of its common stock.</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August 6, 2021, pursuant to the Third Supplemental Indenture, the holders of the 12.5% Notes extended to June 30, 2022 from December 31, 2021, the Company's ability to access, at the Company's option, $30,000 of 12.5% Notes re-openers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the Indenture. Under the Third Supplemental Indenture, the first $10,000 of 12.5% Notes re-openers represented a commitment of such amount by current holders of 12.5% Notes, at the option of the Company, contingent upon FDA approval of the Company's product candidate Libervant™ (diazepam) Buccal Film for the management of seizure clusters ("First Additional Securities"). In addition, under the Third Supplemental Indenture, a second $20,000 12.5% Notes re-opener represented a right, at the Company's option, to market to current holders of the Company's 12.5% Notes, and or other lenders, additional 12.5% Notes up to such amount, contingent upon FDA approval of Libervant for U.S. market access ("Second Additional Securities"). If and to the extent that the Company accesses these re-openers, it will grant warrants to purchase up to 714,000 shares of Common Stock, with the strike price calculated based on the 30-day volume weighted average closing price of the Common Stock at the warrant grant date.</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Company's access to the First Additional Securities and Second Additional Securities is subject to the full approval of Libervant by the FDA for sale in the United States, which full approval includes U.S. market access for Libervant. In addition, the Fifth Supplemental Indenture provides that the holders of 12.5% Notes have the right, but not the obligation, to purchase the First Additional Securities and Second Additional Securities.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debt maturity table is presented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Remainder of 2022</w:t>
            </w: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9720" w:type="dxa"/>
            <w:vAlign w:val="bottom"/>
          </w:tcPr>
          <w:p>
            <w:pPr>
              <w:spacing w:after="0"/>
              <w:rPr>
                <w:sz w:val="20"/>
                <w:szCs w:val="20"/>
                <w:color w:val="auto"/>
              </w:rPr>
            </w:pPr>
            <w:r>
              <w:rPr>
                <w:rFonts w:ascii="Arial" w:cs="Arial" w:eastAsia="Arial" w:hAnsi="Arial"/>
                <w:sz w:val="12"/>
                <w:szCs w:val="12"/>
                <w:color w:val="auto"/>
              </w:rPr>
              <w:t>2023</w:t>
            </w:r>
          </w:p>
        </w:tc>
        <w:tc>
          <w:tcPr>
            <w:tcW w:w="6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18,025</w:t>
            </w:r>
          </w:p>
        </w:tc>
      </w:tr>
      <w:tr>
        <w:trPr>
          <w:trHeight w:val="153"/>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21,888</w:t>
            </w:r>
          </w:p>
        </w:tc>
      </w:tr>
      <w:tr>
        <w:trPr>
          <w:trHeight w:val="153"/>
        </w:trPr>
        <w:tc>
          <w:tcPr>
            <w:tcW w:w="9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2025</w:t>
            </w: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11,587</w:t>
            </w:r>
          </w:p>
        </w:tc>
      </w:tr>
      <w:tr>
        <w:trPr>
          <w:trHeight w:val="158"/>
        </w:trPr>
        <w:tc>
          <w:tcPr>
            <w:tcW w:w="9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51,500</w:t>
            </w:r>
          </w:p>
        </w:tc>
      </w:tr>
    </w:tbl>
    <w:p>
      <w:pPr>
        <w:spacing w:after="0" w:line="2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12.5% Notes provide a stated fixed interest rate of 12.5%, payable quarterly in arrears, with the initial quarterly principal repayment of 12.5% Notes due on September 30, 2021 and the final quarterly payment due at maturity on June 30, 2025. Principal payments are scheduled to increase annually from 10% of the face amount of the debt then outstanding during the first four quarters to 40% of the 12.5% Notes during the final four quarters. As of September 30, 2022, the Company recorded its principal payments as Loans payable, net on its Condensed Consolidated Balance Sheet.</w:t>
      </w:r>
    </w:p>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spacing w:after="0" w:line="14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On October 7, 2021, the Company entered into the Fourth Supplemental Indenture, pursuant to which the amortization schedule for the 12.5% Notes has been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As of September 30, 2022, the Company recorded the Consent Fee as Loans payable, current, on its Consolidated Balance Sheet. Additionally, the Company recognized a loss on the extinguishment of debt of $13,822 for fees and expenses related to the Fourth Supplemental Indenture during the fourth quarter of 2021.</w:t>
      </w:r>
    </w:p>
    <w:p>
      <w:pPr>
        <w:spacing w:after="0" w:line="13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 the 12.5% Notes for the three and nine months ended September 30, 2022 were $4 and $12, respectively, while comparative amortization expenses for the three and nine months ended September 30, 2021 were $1,171 and $3,488, respectively. Unamortized deferred debt issuance costs and deferred debt discounts totaled $31 and $43 as of September 30, 2022 and December 31, 2021,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1" w:name="page22"/>
    <w:bookmarkEnd w:id="21"/>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w:t>
      </w:r>
    </w:p>
    <w:p>
      <w:pPr>
        <w:spacing w:after="0" w:line="129" w:lineRule="exact"/>
        <w:rPr>
          <w:sz w:val="20"/>
          <w:szCs w:val="20"/>
          <w:color w:val="auto"/>
        </w:rPr>
      </w:pPr>
    </w:p>
    <w:p>
      <w:pPr>
        <w:spacing w:after="0"/>
        <w:tabs>
          <w:tab w:leader="none" w:pos="50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1"/>
          <w:szCs w:val="11"/>
          <w:b w:val="1"/>
          <w:bCs w:val="1"/>
          <w:color w:val="auto"/>
        </w:rPr>
        <w:t>Warrants</w:t>
      </w:r>
    </w:p>
    <w:p>
      <w:pPr>
        <w:spacing w:after="0" w:line="172"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is treated as a debt discount, amortizable over the term of the respective warrants, with the unamortized 12.5% Notes portion applied to reduce the aggregate principal amount of the 12.5% Notes in the Company’s unaudited condensed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balance sheet. There were no warrants exercised as it relates to the Initial Warrants and the Additional Warrants during the nine-months ended September 30, 2022 or 2021, respectively.</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June 2022, the Company issued pre-funded warrants and Common Stock warrants to certain purchasers in connection with the Securities Purchase Agreements. The pre-funded warrants will expire when exercised in full and entitle purchasers to purchase up to 4,000,000 shares of Common Stock.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balance sheet. The pre-funded warrants were fully exercised and no Common Stock warrants issued pursuant to the Securities Purchase Agreements were exercised during the nine-months ended September 30, 2022.</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0"/>
          <w:szCs w:val="10"/>
          <w:b w:val="1"/>
          <w:bCs w:val="1"/>
          <w:color w:val="auto"/>
        </w:rPr>
        <w:t>Sale of Future Revenue</w:t>
      </w:r>
    </w:p>
    <w:p>
      <w:pPr>
        <w:spacing w:after="0" w:line="172"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2"/>
          <w:szCs w:val="12"/>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September 30, 2022 under the Monetization Agreement.</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Monetization Agreement, additional aggregate contingent payments of up to $75,000 may be due to the Company upon the achievement of worldwide royalty and other commercial targets within a specified timeframe, which could result in total potential proceeds of $125,000.</w:t>
      </w:r>
    </w:p>
    <w:p>
      <w:pPr>
        <w:spacing w:after="0" w:line="124"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to those liabilities do not and will not represent any obligation to pay or any potential future use of cash.</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Arial" w:cs="Arial" w:eastAsia="Arial" w:hAnsi="Arial"/>
          <w:sz w:val="12"/>
          <w:szCs w:val="12"/>
          <w:i w:val="1"/>
          <w:iCs w:val="1"/>
          <w:color w:val="auto"/>
        </w:rPr>
        <w:t>Transfer and Servicing</w:t>
      </w:r>
      <w:r>
        <w:rPr>
          <w:rFonts w:ascii="Arial" w:cs="Arial" w:eastAsia="Arial" w:hAnsi="Arial"/>
          <w:sz w:val="12"/>
          <w:szCs w:val="12"/>
          <w:color w:val="auto"/>
        </w:rPr>
        <w:t xml:space="preserve"> to determine whether the existing receivable was transferred to Marathon and concluded that the receivable was not transferred.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Based on the current forecast by Sunovion of estimated KYNMOBI sales as of September 30, 2022, the Company may not receive any of the additional aggregate contingent payments under the Monetization Agreement.</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The following table shows the activity of the liability related to the sale of future revenue for the nine months ended September 30, 2022</w:t>
            </w:r>
            <w:r>
              <w:rPr>
                <w:rFonts w:ascii="Arial" w:cs="Arial" w:eastAsia="Arial" w:hAnsi="Arial"/>
                <w:sz w:val="10"/>
                <w:szCs w:val="10"/>
                <w:color w:val="auto"/>
              </w:rPr>
              <w:t>:</w:t>
            </w: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8"/>
        </w:trPr>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53"/>
        </w:trPr>
        <w:tc>
          <w:tcPr>
            <w:tcW w:w="7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Liability related to the sale of future revenue, net at December 31, 2021</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60,284</w:t>
            </w:r>
          </w:p>
        </w:tc>
      </w:tr>
      <w:tr>
        <w:trPr>
          <w:trHeight w:val="153"/>
        </w:trPr>
        <w:tc>
          <w:tcPr>
            <w:tcW w:w="7860" w:type="dxa"/>
            <w:vAlign w:val="bottom"/>
          </w:tcPr>
          <w:p>
            <w:pPr>
              <w:ind w:left="20"/>
              <w:spacing w:after="0"/>
              <w:rPr>
                <w:sz w:val="20"/>
                <w:szCs w:val="20"/>
                <w:color w:val="auto"/>
              </w:rPr>
            </w:pPr>
            <w:r>
              <w:rPr>
                <w:rFonts w:ascii="Arial" w:cs="Arial" w:eastAsia="Arial" w:hAnsi="Arial"/>
                <w:sz w:val="12"/>
                <w:szCs w:val="12"/>
                <w:color w:val="auto"/>
              </w:rPr>
              <w:t>Royalties related to the sale of future revenue</w:t>
            </w:r>
          </w:p>
        </w:tc>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(903)</w:t>
            </w:r>
          </w:p>
        </w:tc>
      </w:tr>
      <w:tr>
        <w:trPr>
          <w:trHeight w:val="153"/>
        </w:trPr>
        <w:tc>
          <w:tcPr>
            <w:tcW w:w="7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issuance costs</w:t>
            </w:r>
          </w:p>
        </w:tc>
        <w:tc>
          <w:tcPr>
            <w:tcW w:w="9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r>
      <w:tr>
        <w:trPr>
          <w:trHeight w:val="15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expense related to the sale of future revenue</w:t>
            </w:r>
          </w:p>
        </w:tc>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5,683</w:t>
            </w:r>
          </w:p>
        </w:tc>
      </w:tr>
      <w:tr>
        <w:trPr>
          <w:trHeight w:val="15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Liability related to the sale of future revenue, net (includes current portion of $1,910)</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65,218</w:t>
            </w:r>
          </w:p>
        </w:tc>
      </w:tr>
    </w:tbl>
    <w:p>
      <w:pPr>
        <w:spacing w:after="0" w:line="374"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0"/>
          <w:szCs w:val="10"/>
          <w:b w:val="1"/>
          <w:bCs w:val="1"/>
          <w:color w:val="auto"/>
        </w:rPr>
        <w:t>Net Loss Per Share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Basic net loss per share is calculated by dividing net loss by the weighted-average number of common shares.</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As a result of the Company’s net loss incurred for the three and nine months ended September 30, 2022 and 2021, all potentially dilutive instruments outstanding would have anti-dilutive effects on per-share calculations for the periods. Therefore, basic and diluted net loss per share were the same for all periods presented as reflected below.</w:t>
      </w:r>
    </w:p>
    <w:p>
      <w:pPr>
        <w:sectPr>
          <w:pgSz w:w="11900" w:h="16838" w:orient="portrait"/>
          <w:cols w:equalWidth="0" w:num="1">
            <w:col w:w="11300"/>
          </w:cols>
          <w:pgMar w:left="300" w:top="12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Numerator: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Net loss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Denominator:</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Weighted-average number of common shares – basic</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Loss per common share – basic and diluted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40" w:type="dxa"/>
            <w:vAlign w:val="bottom"/>
          </w:tcPr>
          <w:p>
            <w:pPr>
              <w:spacing w:after="0"/>
              <w:rPr>
                <w:sz w:val="12"/>
                <w:szCs w:val="12"/>
                <w:color w:val="auto"/>
              </w:rPr>
            </w:pPr>
          </w:p>
        </w:tc>
      </w:tr>
      <w:tr>
        <w:trPr>
          <w:trHeight w:val="153"/>
        </w:trPr>
        <w:tc>
          <w:tcPr>
            <w:tcW w:w="320" w:type="dxa"/>
            <w:vAlign w:val="bottom"/>
          </w:tcPr>
          <w:p>
            <w:pPr>
              <w:spacing w:after="0"/>
              <w:rPr>
                <w:sz w:val="13"/>
                <w:szCs w:val="13"/>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Pr>
          <w:p>
            <w:pPr>
              <w:spacing w:after="0"/>
              <w:rPr>
                <w:sz w:val="13"/>
                <w:szCs w:val="13"/>
                <w:color w:val="auto"/>
              </w:rPr>
            </w:pPr>
          </w:p>
        </w:tc>
      </w:tr>
      <w:tr>
        <w:trPr>
          <w:trHeight w:val="157"/>
        </w:trPr>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2021</w:t>
            </w:r>
          </w:p>
        </w:tc>
      </w:tr>
      <w:tr>
        <w:trPr>
          <w:trHeight w:val="286"/>
        </w:trPr>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(12,536)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(14,555)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(42,058)</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(41,594)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53,424,922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39,224,863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46,828,218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37,297,892</w:t>
            </w:r>
          </w:p>
        </w:tc>
      </w:tr>
      <w:tr>
        <w:trPr>
          <w:trHeight w:val="153"/>
        </w:trPr>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(0.23)</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(0.90)</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-519430</wp:posOffset>
            </wp:positionV>
            <wp:extent cx="7178040"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-313690</wp:posOffset>
            </wp:positionV>
            <wp:extent cx="7178040"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-119380</wp:posOffset>
            </wp:positionV>
            <wp:extent cx="7178040" cy="108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440"/>
          </w:cols>
          <w:pgMar w:left="300" w:top="128" w:right="299" w:bottom="1440" w:gutter="0" w:footer="0" w:header="0"/>
          <w:type w:val="continuous"/>
        </w:sectPr>
      </w:pPr>
    </w:p>
    <w:p>
      <w:pPr>
        <w:spacing w:after="0" w:line="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As of September 30, 2022 and 2021, respectively, the Company’s potentially dilutive instruments included 5,967,492 and 4,341,967 options to purchase common shares and 168,050 and no unvested restricted stock units that were excluded from the computation of diluted weighted average shares outstanding because these securities had an antidilutive impact due to the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losses reported. Similarly excluded as of September 30, 2022 and 2021, were potentially dilutive warrants for the purchase of 10,564,429 and 1,571,429 shares of common stock for the respective periods.</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0"/>
          <w:szCs w:val="10"/>
          <w:b w:val="1"/>
          <w:bCs w:val="1"/>
          <w:color w:val="auto"/>
        </w:rPr>
        <w:t>Share-Based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share-based compensation in its Condensed Consolidated Statements of Operations and Comprehensive Loss during 2022 and 2021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60" w:type="dxa"/>
            <w:vAlign w:val="bottom"/>
            <w:gridSpan w:val="6"/>
          </w:tcPr>
          <w:p>
            <w:pPr>
              <w:jc w:val="center"/>
              <w:ind w:left="380"/>
              <w:spacing w:after="0"/>
              <w:rPr>
                <w:sz w:val="20"/>
                <w:szCs w:val="20"/>
                <w:color w:val="auto"/>
              </w:rPr>
            </w:pPr>
            <w:r>
              <w:rPr>
                <w:rFonts w:ascii="Arial" w:cs="Arial" w:eastAsia="Arial" w:hAnsi="Arial"/>
                <w:sz w:val="12"/>
                <w:szCs w:val="12"/>
                <w:b w:val="1"/>
                <w:bCs w:val="1"/>
                <w:color w:val="auto"/>
                <w:w w:val="92"/>
              </w:rPr>
              <w:t>Three Months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4"/>
          </w:tcPr>
          <w:p>
            <w:pPr>
              <w:ind w:left="20"/>
              <w:spacing w:after="0"/>
              <w:rPr>
                <w:sz w:val="20"/>
                <w:szCs w:val="20"/>
                <w:color w:val="auto"/>
              </w:rPr>
            </w:pPr>
            <w:r>
              <w:rPr>
                <w:rFonts w:ascii="Arial" w:cs="Arial" w:eastAsia="Arial" w:hAnsi="Arial"/>
                <w:sz w:val="12"/>
                <w:szCs w:val="12"/>
                <w:b w:val="1"/>
                <w:bCs w:val="1"/>
                <w:color w:val="auto"/>
              </w:rPr>
              <w:t>Nine Months Ended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0"/>
              </w:rPr>
              <w:t>September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43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2022</w:t>
            </w: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Manufacture and supply</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96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406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3,104</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4,217</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gridSpan w:val="3"/>
          </w:tcPr>
          <w:p>
            <w:pPr>
              <w:spacing w:after="0"/>
              <w:rPr>
                <w:sz w:val="20"/>
                <w:szCs w:val="20"/>
                <w:color w:val="auto"/>
              </w:rPr>
            </w:pPr>
            <w:r>
              <w:rPr>
                <w:rFonts w:ascii="Arial" w:cs="Arial" w:eastAsia="Arial" w:hAnsi="Arial"/>
                <w:sz w:val="12"/>
                <w:szCs w:val="12"/>
                <w:color w:val="auto"/>
              </w:rPr>
              <w:t>Total share-based compensation expenses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535</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1,900</w:t>
            </w:r>
          </w:p>
        </w:tc>
        <w:tc>
          <w:tcPr>
            <w:tcW w:w="10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3,669</w:t>
            </w:r>
          </w:p>
        </w:tc>
        <w:tc>
          <w:tcPr>
            <w:tcW w:w="960" w:type="dxa"/>
            <w:vAlign w:val="bottom"/>
            <w:gridSpan w:val="3"/>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5,128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43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Share-based compensation from:</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Restricted stock units</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96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Stock options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477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3,570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5,036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Employee stock purchase plan</w:t>
            </w: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0" w:type="dxa"/>
            <w:vAlign w:val="bottom"/>
            <w:gridSpan w:val="3"/>
          </w:tcPr>
          <w:p>
            <w:pPr>
              <w:spacing w:after="0"/>
              <w:rPr>
                <w:sz w:val="20"/>
                <w:szCs w:val="20"/>
                <w:color w:val="auto"/>
              </w:rPr>
            </w:pPr>
            <w:r>
              <w:rPr>
                <w:rFonts w:ascii="Arial" w:cs="Arial" w:eastAsia="Arial" w:hAnsi="Arial"/>
                <w:sz w:val="12"/>
                <w:szCs w:val="12"/>
                <w:color w:val="auto"/>
              </w:rPr>
              <w:t>Total share-based compensation expenses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535</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1,900</w:t>
            </w:r>
          </w:p>
        </w:tc>
        <w:tc>
          <w:tcPr>
            <w:tcW w:w="10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3,669</w:t>
            </w:r>
          </w:p>
        </w:tc>
        <w:tc>
          <w:tcPr>
            <w:tcW w:w="960" w:type="dxa"/>
            <w:vAlign w:val="bottom"/>
            <w:gridSpan w:val="3"/>
          </w:tcPr>
          <w:p>
            <w:pPr>
              <w:jc w:val="right"/>
              <w:ind w:right="70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2"/>
                <w:szCs w:val="12"/>
                <w:b w:val="1"/>
                <w:bCs w:val="1"/>
                <w:i w:val="1"/>
                <w:iCs w:val="1"/>
                <w:color w:val="auto"/>
              </w:rPr>
              <w:t>Share-Based Compensation Equity Awards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2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gridSpan w:val="9"/>
          </w:tcPr>
          <w:p>
            <w:pPr>
              <w:spacing w:after="0"/>
              <w:rPr>
                <w:sz w:val="20"/>
                <w:szCs w:val="20"/>
                <w:color w:val="auto"/>
              </w:rPr>
            </w:pPr>
            <w:r>
              <w:rPr>
                <w:rFonts w:ascii="Arial" w:cs="Arial" w:eastAsia="Arial" w:hAnsi="Arial"/>
                <w:sz w:val="12"/>
                <w:szCs w:val="12"/>
                <w:color w:val="auto"/>
                <w:w w:val="94"/>
              </w:rPr>
              <w:t>The following tables provide information about the Company’s restricted stock unit and stock option activity during the nine-month period ended September 30, 2022: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0"/>
              <w:spacing w:after="0"/>
              <w:rPr>
                <w:sz w:val="20"/>
                <w:szCs w:val="20"/>
                <w:color w:val="auto"/>
              </w:rPr>
            </w:pPr>
            <w:r>
              <w:rPr>
                <w:rFonts w:ascii="Arial" w:cs="Arial" w:eastAsia="Arial" w:hAnsi="Arial"/>
                <w:sz w:val="12"/>
                <w:szCs w:val="12"/>
                <w:b w:val="1"/>
                <w:bCs w:val="1"/>
                <w:color w:val="auto"/>
                <w:w w:val="88"/>
              </w:rPr>
              <w:t>Weighted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Average</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200" w:type="dxa"/>
            <w:vAlign w:val="bottom"/>
            <w:gridSpan w:val="3"/>
            <w:vMerge w:val="restart"/>
          </w:tcPr>
          <w:p>
            <w:pPr>
              <w:spacing w:after="0"/>
              <w:rPr>
                <w:sz w:val="20"/>
                <w:szCs w:val="20"/>
                <w:color w:val="auto"/>
              </w:rPr>
            </w:pPr>
            <w:r>
              <w:rPr>
                <w:rFonts w:ascii="Arial" w:cs="Arial" w:eastAsia="Arial" w:hAnsi="Arial"/>
                <w:sz w:val="12"/>
                <w:szCs w:val="12"/>
                <w:color w:val="auto"/>
              </w:rPr>
              <w:t>Restricted Stock Unit Awards (RSUs):</w:t>
            </w: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w w:val="94"/>
              </w:rPr>
              <w:t>Grant Date Fair</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20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gridSpan w:val="2"/>
          </w:tcPr>
          <w:p>
            <w:pPr>
              <w:jc w:val="center"/>
              <w:ind w:left="140"/>
              <w:spacing w:after="0" w:line="126" w:lineRule="exact"/>
              <w:rPr>
                <w:sz w:val="20"/>
                <w:szCs w:val="20"/>
                <w:color w:val="auto"/>
              </w:rPr>
            </w:pPr>
            <w:r>
              <w:rPr>
                <w:rFonts w:ascii="Arial" w:cs="Arial" w:eastAsia="Arial" w:hAnsi="Arial"/>
                <w:sz w:val="12"/>
                <w:szCs w:val="12"/>
                <w:b w:val="1"/>
                <w:bCs w:val="1"/>
                <w:color w:val="auto"/>
                <w:w w:val="86"/>
              </w:rPr>
              <w:t>Units</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200"/>
              <w:spacing w:after="0" w:line="126" w:lineRule="exact"/>
              <w:rPr>
                <w:sz w:val="20"/>
                <w:szCs w:val="20"/>
                <w:color w:val="auto"/>
              </w:rPr>
            </w:pPr>
            <w:r>
              <w:rPr>
                <w:rFonts w:ascii="Arial" w:cs="Arial" w:eastAsia="Arial" w:hAnsi="Arial"/>
                <w:sz w:val="12"/>
                <w:szCs w:val="12"/>
                <w:b w:val="1"/>
                <w:bCs w:val="1"/>
                <w:color w:val="auto"/>
                <w:w w:val="93"/>
              </w:rPr>
              <w:t>Value</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2"/>
                <w:szCs w:val="12"/>
                <w:color w:val="auto"/>
                <w:w w:val="89"/>
              </w:rPr>
              <w:t>(in thousands)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Unvested as of December 31, 2021</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Granted</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192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Vested</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Forfeited</w:t>
            </w:r>
          </w:p>
        </w:tc>
        <w:tc>
          <w:tcPr>
            <w:tcW w:w="8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Unvested as of September 30, 2022</w:t>
            </w:r>
          </w:p>
        </w:tc>
        <w:tc>
          <w:tcPr>
            <w:tcW w:w="8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gridSpan w:val="3"/>
          </w:tcPr>
          <w:p>
            <w:pPr>
              <w:spacing w:after="0"/>
              <w:rPr>
                <w:sz w:val="20"/>
                <w:szCs w:val="20"/>
                <w:color w:val="auto"/>
              </w:rPr>
            </w:pPr>
            <w:r>
              <w:rPr>
                <w:rFonts w:ascii="Arial" w:cs="Arial" w:eastAsia="Arial" w:hAnsi="Arial"/>
                <w:sz w:val="12"/>
                <w:szCs w:val="12"/>
                <w:color w:val="auto"/>
              </w:rPr>
              <w:t>Vested and expected to vest as of September 30, 2022</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154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gridSpan w:val="3"/>
          </w:tcPr>
          <w:p>
            <w:pPr>
              <w:jc w:val="right"/>
              <w:ind w:right="72"/>
              <w:spacing w:after="0"/>
              <w:rPr>
                <w:sz w:val="20"/>
                <w:szCs w:val="20"/>
                <w:color w:val="auto"/>
              </w:rPr>
            </w:pPr>
            <w:r>
              <w:rPr>
                <w:rFonts w:ascii="Arial" w:cs="Arial" w:eastAsia="Arial" w:hAnsi="Arial"/>
                <w:sz w:val="12"/>
                <w:szCs w:val="12"/>
                <w:b w:val="1"/>
                <w:bCs w:val="1"/>
                <w:color w:val="auto"/>
              </w:rPr>
              <w:t>Number of</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gridSpan w:val="4"/>
          </w:tcPr>
          <w:p>
            <w:pPr>
              <w:jc w:val="right"/>
              <w:spacing w:after="0"/>
              <w:rPr>
                <w:sz w:val="20"/>
                <w:szCs w:val="20"/>
                <w:color w:val="auto"/>
              </w:rPr>
            </w:pPr>
            <w:r>
              <w:rPr>
                <w:rFonts w:ascii="Arial" w:cs="Arial" w:eastAsia="Arial" w:hAnsi="Arial"/>
                <w:sz w:val="12"/>
                <w:szCs w:val="12"/>
                <w:b w:val="1"/>
                <w:bCs w:val="1"/>
                <w:color w:val="auto"/>
              </w:rPr>
              <w:t>Weighted Average</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200" w:type="dxa"/>
            <w:vAlign w:val="bottom"/>
            <w:gridSpan w:val="3"/>
          </w:tcPr>
          <w:p>
            <w:pPr>
              <w:spacing w:after="0" w:line="135" w:lineRule="exact"/>
              <w:rPr>
                <w:sz w:val="20"/>
                <w:szCs w:val="20"/>
                <w:color w:val="auto"/>
              </w:rPr>
            </w:pPr>
            <w:r>
              <w:rPr>
                <w:rFonts w:ascii="Arial" w:cs="Arial" w:eastAsia="Arial" w:hAnsi="Arial"/>
                <w:sz w:val="12"/>
                <w:szCs w:val="12"/>
                <w:color w:val="auto"/>
              </w:rPr>
              <w:t>Stock Option Awards: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3"/>
          </w:tcPr>
          <w:p>
            <w:pPr>
              <w:jc w:val="right"/>
              <w:ind w:right="132"/>
              <w:spacing w:after="0" w:line="135" w:lineRule="exact"/>
              <w:rPr>
                <w:sz w:val="20"/>
                <w:szCs w:val="20"/>
                <w:color w:val="auto"/>
              </w:rPr>
            </w:pPr>
            <w:r>
              <w:rPr>
                <w:rFonts w:ascii="Arial" w:cs="Arial" w:eastAsia="Arial" w:hAnsi="Arial"/>
                <w:sz w:val="12"/>
                <w:szCs w:val="12"/>
                <w:b w:val="1"/>
                <w:bCs w:val="1"/>
                <w:color w:val="auto"/>
              </w:rPr>
              <w:t>Options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w w:val="92"/>
              </w:rPr>
              <w:t>Exercise Price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3"/>
          </w:tcPr>
          <w:p>
            <w:pPr>
              <w:jc w:val="right"/>
              <w:ind w:right="12"/>
              <w:spacing w:after="0" w:line="129" w:lineRule="exact"/>
              <w:rPr>
                <w:sz w:val="20"/>
                <w:szCs w:val="20"/>
                <w:color w:val="auto"/>
              </w:rPr>
            </w:pPr>
            <w:r>
              <w:rPr>
                <w:rFonts w:ascii="Arial" w:cs="Arial" w:eastAsia="Arial" w:hAnsi="Arial"/>
                <w:sz w:val="12"/>
                <w:szCs w:val="12"/>
                <w:color w:val="auto"/>
                <w:w w:val="94"/>
              </w:rPr>
              <w:t>(in thousands)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as of December 31, 2021</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4,146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Granted</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1,830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Exercised, Forfeited, Expired</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10.76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Outstanding as of September 30, 2022</w:t>
            </w:r>
          </w:p>
        </w:tc>
        <w:tc>
          <w:tcPr>
            <w:tcW w:w="8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5,967</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gridSpan w:val="2"/>
          </w:tcPr>
          <w:p>
            <w:pPr>
              <w:ind w:lef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5.70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Vested and expected to vest as of September 30, 2022</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5,800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gridSpan w:val="3"/>
          </w:tcPr>
          <w:p>
            <w:pPr>
              <w:spacing w:after="0"/>
              <w:rPr>
                <w:sz w:val="20"/>
                <w:szCs w:val="20"/>
                <w:color w:val="auto"/>
              </w:rPr>
            </w:pPr>
            <w:r>
              <w:rPr>
                <w:rFonts w:ascii="Arial" w:cs="Arial" w:eastAsia="Arial" w:hAnsi="Arial"/>
                <w:sz w:val="12"/>
                <w:szCs w:val="12"/>
                <w:color w:val="auto"/>
              </w:rPr>
              <w:t>Exercisable as of September 30, 2022</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3,651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2022, $301 of unrecognized compensation expense related to unvested restricted stock units is expected to be recognized over a weighted average period of 2.46 years from the date of grant.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00" w:type="dxa"/>
            <w:vAlign w:val="bottom"/>
          </w:tcPr>
          <w:p>
            <w:pPr>
              <w:spacing w:after="0"/>
              <w:rPr>
                <w:sz w:val="20"/>
                <w:szCs w:val="20"/>
                <w:color w:val="auto"/>
              </w:rPr>
            </w:pPr>
            <w:r>
              <w:rPr>
                <w:rFonts w:ascii="Arial" w:cs="Arial" w:eastAsia="Arial" w:hAnsi="Arial"/>
                <w:sz w:val="12"/>
                <w:szCs w:val="12"/>
                <w:color w:val="auto"/>
                <w:w w:val="94"/>
              </w:rPr>
              <w:t>The fair values of stock options granted during the nine months ended September 30, 2022 were estimated using the Black-Scholes pricing model based on the following assumptions: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9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53"/>
        </w:trPr>
        <w:tc>
          <w:tcPr>
            <w:tcW w:w="920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 yield</w:t>
            </w: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jc w:val="center"/>
              <w:ind w:left="20"/>
              <w:spacing w:after="0"/>
              <w:rPr>
                <w:sz w:val="20"/>
                <w:szCs w:val="20"/>
                <w:color w:val="auto"/>
              </w:rPr>
            </w:pPr>
            <w:r>
              <w:rPr>
                <w:rFonts w:ascii="Arial" w:cs="Arial" w:eastAsia="Arial" w:hAnsi="Arial"/>
                <w:sz w:val="12"/>
                <w:szCs w:val="12"/>
                <w:color w:val="auto"/>
                <w:w w:val="96"/>
              </w:rPr>
              <w:t>—%</w:t>
            </w:r>
          </w:p>
        </w:tc>
        <w:tc>
          <w:tcPr>
            <w:tcW w:w="1020" w:type="dxa"/>
            <w:vAlign w:val="bottom"/>
            <w:shd w:val="clear" w:color="auto" w:fill="CCEEFF"/>
          </w:tcPr>
          <w:p>
            <w:pPr>
              <w:spacing w:after="0"/>
              <w:rPr>
                <w:sz w:val="13"/>
                <w:szCs w:val="13"/>
                <w:color w:val="auto"/>
              </w:rPr>
            </w:pPr>
          </w:p>
        </w:tc>
      </w:tr>
      <w:tr>
        <w:trPr>
          <w:trHeight w:val="153"/>
        </w:trPr>
        <w:tc>
          <w:tcPr>
            <w:tcW w:w="9200" w:type="dxa"/>
            <w:vAlign w:val="bottom"/>
          </w:tcPr>
          <w:p>
            <w:pPr>
              <w:spacing w:after="0"/>
              <w:rPr>
                <w:sz w:val="20"/>
                <w:szCs w:val="20"/>
                <w:color w:val="auto"/>
              </w:rPr>
            </w:pPr>
            <w:r>
              <w:rPr>
                <w:rFonts w:ascii="Arial" w:cs="Arial" w:eastAsia="Arial" w:hAnsi="Arial"/>
                <w:sz w:val="12"/>
                <w:szCs w:val="12"/>
                <w:color w:val="auto"/>
              </w:rPr>
              <w:t>Expected volatility</w:t>
            </w:r>
          </w:p>
        </w:tc>
        <w:tc>
          <w:tcPr>
            <w:tcW w:w="780" w:type="dxa"/>
            <w:vAlign w:val="bottom"/>
          </w:tcPr>
          <w:p>
            <w:pPr>
              <w:spacing w:after="0"/>
              <w:rPr>
                <w:sz w:val="13"/>
                <w:szCs w:val="13"/>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w w:val="97"/>
              </w:rPr>
              <w:t>100%</w:t>
            </w:r>
          </w:p>
        </w:tc>
      </w:tr>
      <w:tr>
        <w:trPr>
          <w:trHeight w:val="153"/>
        </w:trPr>
        <w:tc>
          <w:tcPr>
            <w:tcW w:w="920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6.1</w:t>
            </w:r>
          </w:p>
        </w:tc>
      </w:tr>
      <w:tr>
        <w:trPr>
          <w:trHeight w:val="153"/>
        </w:trPr>
        <w:tc>
          <w:tcPr>
            <w:tcW w:w="9200" w:type="dxa"/>
            <w:vAlign w:val="bottom"/>
          </w:tcPr>
          <w:p>
            <w:pPr>
              <w:spacing w:after="0"/>
              <w:rPr>
                <w:sz w:val="20"/>
                <w:szCs w:val="20"/>
                <w:color w:val="auto"/>
              </w:rPr>
            </w:pPr>
            <w:r>
              <w:rPr>
                <w:rFonts w:ascii="Arial" w:cs="Arial" w:eastAsia="Arial" w:hAnsi="Arial"/>
                <w:sz w:val="12"/>
                <w:szCs w:val="12"/>
                <w:color w:val="auto"/>
              </w:rPr>
              <w:t>Risk-free interest rate</w:t>
            </w:r>
          </w:p>
        </w:tc>
        <w:tc>
          <w:tcPr>
            <w:tcW w:w="780" w:type="dxa"/>
            <w:vAlign w:val="bottom"/>
          </w:tcPr>
          <w:p>
            <w:pPr>
              <w:jc w:val="right"/>
              <w:spacing w:after="0"/>
              <w:rPr>
                <w:sz w:val="20"/>
                <w:szCs w:val="20"/>
                <w:color w:val="auto"/>
              </w:rPr>
            </w:pPr>
            <w:r>
              <w:rPr>
                <w:rFonts w:ascii="Arial" w:cs="Arial" w:eastAsia="Arial" w:hAnsi="Arial"/>
                <w:sz w:val="12"/>
                <w:szCs w:val="12"/>
                <w:color w:val="auto"/>
              </w:rPr>
              <w:t>2.0 %</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20"/>
                <w:szCs w:val="20"/>
                <w:color w:val="auto"/>
              </w:rPr>
            </w:pPr>
            <w:r>
              <w:rPr>
                <w:rFonts w:ascii="Arial" w:cs="Arial" w:eastAsia="Arial" w:hAnsi="Arial"/>
                <w:sz w:val="12"/>
                <w:szCs w:val="12"/>
                <w:color w:val="auto"/>
              </w:rPr>
              <w:t>3.4%</w:t>
            </w:r>
          </w:p>
        </w:tc>
      </w:tr>
    </w:tbl>
    <w:p>
      <w:pPr>
        <w:spacing w:after="0" w:line="20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weighted average grant date fair value of stock options granted during the nine months ended September 30, 2022 was $1.54. During the nine-month period ended September 30, 2022, stock options were granted with an exercise price ranging from $0.71 to $2.55 and accordingly, given the Company’s share price of $1.17 at September 30, 2022, the intrinsic value provided by certain shares granted during this period was de minimus.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2022, $2,778 of unrecognized compensation expense related to non-vested stock options is expected to be recognized over a weighted average period of 2.00 years from the date of grant.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2022 Inducement Equity Incentive Plan</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accordance with Nasdaq Listing Rule 5635(c)(4), the Company adopted the 2022 Equity Inducement Plan approved by the Compensation Committee of the Board of Directors of the Company effective as of July 29, 2022. Under the 2022 Equity Inducement Plan, the Company granted an inducement equity of 100,000 shares of non-qualified Common Stock options award to an officer in September 2022.</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Employee Stock Purchase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Employee Stock Purchase Plan ("ESPP"), as amended and restated effective as of January 1, 2019, features two six-month offering periods per year, running from January 1 to June 30 and July 1 to December 31. Under the ESPP, employees may elect to purchase Common Stock at the lower of 85% of the fair value of shares on either the first or last day of the offering period. During the nine months ended September 30, 2022 and 2021, respectively, 23,884 and 19,270 shares were purchased and issued through the ESPP at total discounts of $2 and $11.</w:t>
      </w:r>
    </w:p>
    <w:p>
      <w:pPr>
        <w:spacing w:after="0" w:line="29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18.</w:t>
      </w:r>
      <w:r>
        <w:rPr>
          <w:sz w:val="20"/>
          <w:szCs w:val="20"/>
          <w:color w:val="auto"/>
        </w:rPr>
        <w:tab/>
      </w:r>
      <w:r>
        <w:rPr>
          <w:rFonts w:ascii="Arial" w:cs="Arial" w:eastAsia="Arial" w:hAnsi="Arial"/>
          <w:sz w:val="10"/>
          <w:szCs w:val="10"/>
          <w:b w:val="1"/>
          <w:bCs w:val="1"/>
          <w:color w:val="auto"/>
        </w:rPr>
        <w:t>Income Taxes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14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Company’s tax provision for interim periods is determined using an estimate of its annual effective tax rate, adjusted for discrete items. For the three months ended September 30, 2022 and 2021, the Company recorded no income tax benefit from its pretax losses of $12,536 and $14,555. Similarly for the nine months ended September 30, 2022 and 2021, the Company recorded no income tax benefit from its pretax losses of $42,058 and $41,594.</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primary factor impacting the effective tax rate for the three and nine months ended September 30, 2022 is the anticipated full year operating loss which will require full valuation allowances against any associated net deferred tax assets.</w:t>
      </w:r>
    </w:p>
    <w:p>
      <w:pPr>
        <w:spacing w:after="0" w:line="129"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19.</w:t>
      </w:r>
      <w:r>
        <w:rPr>
          <w:sz w:val="20"/>
          <w:szCs w:val="20"/>
          <w:color w:val="auto"/>
        </w:rPr>
        <w:tab/>
      </w:r>
      <w:r>
        <w:rPr>
          <w:rFonts w:ascii="Arial" w:cs="Arial" w:eastAsia="Arial" w:hAnsi="Arial"/>
          <w:sz w:val="10"/>
          <w:szCs w:val="10"/>
          <w:b w:val="1"/>
          <w:bCs w:val="1"/>
          <w:color w:val="auto"/>
        </w:rPr>
        <w:t>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 and Contingencies</w:t>
      </w:r>
    </w:p>
    <w:p>
      <w:pPr>
        <w:spacing w:after="0" w:line="15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From time to time, the Company has been and may again become involved in legal proceedings arising in the course of its business, including product liability, intellectual property, commercial litigation, or environmental or other regulatory matters.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Patent-Related Litigation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Indivior Inc., Indivior UK Ltd., and Aquestive Therapeutics, Inc. v. Dr. Reddy’s Labs. S.A. and Dr. Reddy’s Labs., Inc.</w:t>
      </w:r>
    </w:p>
    <w:p>
      <w:pPr>
        <w:spacing w:after="0" w:line="159"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On February 7, 2018, the Company and Indivior Inc. and Indivior UK Ltd. (collectively, “Indivior”) initiated a lawsuit against Dr. Reddy’s Laboratories S.A. and Dr. Reddy’s Laboratories, Inc. (collectively, “Dr. Reddy’s”) asserting infringement of U.S. Patent No. 9,855,221 (the "221 patent”). On April 3, 2018, the Company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February 19, 2019, the Court granted the parties’ agreed stipulation to drop the ’221 patent from the case. On January 8, 2020, the Court entered a stipulated order of non-infringement of the ’305 patent based on the Court’s claim construction ruling, and the Company and Indivior preserved the right to appeal the claim construction ruling. On June 28, 2022, pursuant to a settlement agreement between the parties, the Court entered a Stipulation and Order of Dismissal, dismissing all claims and counterclaims with prejudice in the lawsuit.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Indivior Inc., Indivior UK Ltd., and Aquestive Therapeutics, Inc. v. Teva Pharmaceuticals USA, Inc.</w:t>
      </w:r>
    </w:p>
    <w:p>
      <w:pPr>
        <w:spacing w:after="0" w:line="159" w:lineRule="exact"/>
        <w:rPr>
          <w:sz w:val="20"/>
          <w:szCs w:val="20"/>
          <w:color w:val="auto"/>
        </w:rPr>
      </w:pPr>
    </w:p>
    <w:p>
      <w:pPr>
        <w:jc w:val="both"/>
        <w:ind w:right="20" w:firstLine="432"/>
        <w:spacing w:after="0" w:line="239" w:lineRule="auto"/>
        <w:rPr>
          <w:sz w:val="20"/>
          <w:szCs w:val="20"/>
          <w:color w:val="auto"/>
        </w:rPr>
      </w:pPr>
      <w:r>
        <w:rPr>
          <w:rFonts w:ascii="Arial" w:cs="Arial" w:eastAsia="Arial" w:hAnsi="Arial"/>
          <w:sz w:val="12"/>
          <w:szCs w:val="12"/>
          <w:color w:val="auto"/>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which was originally initiated by Indivior against Teva asserting infringement of the ’454 patent. The parties agreed that the case would be governed by the final judgment against Dr. Reddy’s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Indivior Inc., Indivior UK Ltd., and Aquestive Therapeutics, Inc. v. Alvogen Pine Brook LLC</w:t>
      </w:r>
      <w:r>
        <w:rPr>
          <w:rFonts w:ascii="Arial" w:cs="Arial" w:eastAsia="Arial" w:hAnsi="Arial"/>
          <w:sz w:val="12"/>
          <w:szCs w:val="12"/>
          <w:color w:val="auto"/>
        </w:rPr>
        <w:t>,</w:t>
      </w:r>
    </w:p>
    <w:p>
      <w:pPr>
        <w:spacing w:after="0" w:line="15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1"/>
          <w:szCs w:val="11"/>
          <w:color w:val="auto"/>
        </w:rPr>
        <w:t>On September 14, 2017, Indivior initiated a lawsuit against Alvogen Pine Brook LLC (“Alvogen”) asserting infringement of the ’454 patent. On February 7, 2018, the Company and Indivior filed an Amended Complaint, adding the Company as a plaintiff and asserting infringement of U.S. Patent No. 9,855,221 (the "’221 patent”). On April 3, 2018, the Company and Indivior initiated a separate lawsuit against Alvogen asserting infringement of the ’305 patent. On May 29, 2018, the cases were consolidated .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spacing w:after="0" w:line="12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On November 21, 2019, Alvogen filed an amended answer and counterclaims asserting monopolization, attempted monopolization, and conspiracy to monopolize against us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us and asserting only conspiracy to monopolize against us. Fact discovery on Alvogen’s antitrust counterclaims concluded on January 29, 2021. Expert discovery concluded on October 8, 2021, and dispositive motions were filed on October 26, 2021. The Court heard oral argument on the dispositive motions on August 29, 2022, and the parties are awaiting a ruling from the Court. There is no trial date set. The Company is not able to determine or predict the ultimate outcome of this proceeding or provide a reasonable estimate or range of estimates of the possible outcome or losses, if any, in this matter.</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Reckitt Benckiser Pharmaceuticals, Inc. and MonoSol Rx, LLC v. BioDelivery Sciences International, Inc. and Quintiles Commercials US, Inc. (BDSI 2014 Lawsuit)</w:t>
      </w:r>
    </w:p>
    <w:p>
      <w:pPr>
        <w:spacing w:after="0" w:line="15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1"/>
          <w:szCs w:val="11"/>
          <w:color w:val="auto"/>
        </w:rPr>
        <w:t>On September 22, 2014, the Company and RB initiated a lawsuit against BioDelivery Sciences International, Inc. ("BDSI") and Quintiles Commercial US, Inc. (“Quintiles”) asserting infringement of U.S. Patent No. 8,765,167 (the "’167 patent”) in the District of New Jersey (Civil Action No. 3:14-cv-5892). On July 22, 2015, the case was transferred to the Eastern District of North Carolina. BDSI filed requests for inter partes review (“IPR”) of the ’167 patent before the Patent Trial and Appeal Board (“PTAB”), and on May 6, 2016, the Court stayed the case pending the outcome and final determination of the IPR proceedings. On March 24, 2016, the PTAB issued final written decisions finding the ’167 patent was not unpatentable, and the United States Court of Appeals for the Federal Circuit (“Federal Circuit”) remanded those decisions for further proceedings before the PTAB. Following the PTAB’s February 7, 2019 decision on remand denying institution, BDSI appealed that decision to the Federal Circuit. The Federal Circuit granted the Company's motion to dismiss the appeal, and denied BDSI’s request for rehearing en banc. BDSI filed a petition for writ of certiorari to the Supreme Court of the United States (“Supreme Court”), which the Supreme Court denied on October 5, 2020. On April 15, 2021, the Court lifted the stay of the litigation in the Eastern District of North Carolina. On April 29, 2021, BDSI filed a renewed motion to dismiss the complaint. In response, the Company and RB filed an amended complaint on May 18, 2021, which, among other things, removed Quintiles as a defendant. On June 3, 2021, BDSI filed a notice withdrawing its motion to dismiss the original complaint. On July 7, 2021, the Court entered a scheduling order in the case. Under the current scheduling order, the parties have completed their exchange of preliminary infringement and validity contentions, have completed claim construction briefing, and are proceeding with fact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6" w:name="page27"/>
    <w:bookmarkEnd w:id="26"/>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2"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discovery. The Court may schedule a claim construction hearing, and the remainder of the schedule is dependent on the timing of the Court’s ruling on claim construction. The Company is not able to determine or predict the ultimate outcome of this proceeding or provide a reasonable estimate or range of estimates of the possible outcome or losses, if any, in this matter.</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Aquestive Therapeutics, Inc. v. BioDelivery Sciences International, Inc.</w:t>
      </w:r>
    </w:p>
    <w:p>
      <w:pPr>
        <w:spacing w:after="0" w:line="15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1"/>
          <w:szCs w:val="11"/>
          <w:color w:val="auto"/>
        </w:rPr>
        <w:t>On November 11, 2019, the Company initiated a lawsuit against BDSI asserting infringement of the ’167 patent in the Eastern District of North Carolina. On April 1, 2020, the Court denied BDSI’s motion to stay and its motion to dismiss the complaint. On April 16, 2020, BDSI filed its Answer and Counterclaims to the complaint, including counterclaims for non-infringement, invalidity, and unenforceability of the ’167 patent. On May 7, 2020, the Company filed a Motion to Dismiss BDSI’s unenforceability counterclaim and a Motion to Strike BDSI’s corresponding affirmative defenses. On May 28, 2020, BDSI amended its counterclaims and filed an Answer and Amended Counterclaims, which included additional allegations in support of BDSI’s unenforceability counterclaim. On June 25, 2020, the Company filed a Motion to Dismiss BDSI’s Amended Counterclaim for unenforceability and a Motion to Strike BDSI’s corresponding affirmative defense of unenforceability, which BDSI opposed. On March 16, 2021, the Court issued an order granting-in-part and denying-in-part Aquestive’s motion to dismiss BDSI’s counterclaims asserting unenforceability of the ’167 patent. Aquestive filed its answer to the remaining portions of BDSI’s counterclaims on April 6, 2021. BDSI also filed on April 6, 2021 a renewed motion to dismiss Aquestive’s complaint, which Aquestive opposed. On August 10, 2021, the Court entered an order denying BDSI’s motion to dismiss. On July 7, 2021, the Court entered a scheduling order in the case, including the same operative dates as the Court included in the scheduling order for the BDSI 2014 Lawsuit described above, and the parties are proceeding under that same schedule. The Company is not able to determine or predict the ultimate outcome of this proceeding or provide a reasonable estimate or range of estimates of the possible outcome or losses, if any, in this matter.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Antitrust Litigation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State of Wisconsin, et al. v. Indivior Inc., Reckitt Benckiser Healthcare (UK) Ltd., Indivior PLC, and MonoSol Rx, LLC</w:t>
      </w:r>
      <w:r>
        <w:rPr>
          <w:rFonts w:ascii="Arial" w:cs="Arial" w:eastAsia="Arial" w:hAnsi="Arial"/>
          <w:sz w:val="12"/>
          <w:szCs w:val="12"/>
          <w:color w:val="auto"/>
        </w:rPr>
        <w:t>,</w:t>
      </w:r>
    </w:p>
    <w:p>
      <w:pPr>
        <w:spacing w:after="0" w:line="159"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1"/>
          <w:szCs w:val="11"/>
          <w:color w:val="auto"/>
        </w:rPr>
        <w:t>On September 22, 2016, forty-one states and the District of Columbia, or the States, brought a lawsuit against Indivior and us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lawsuit, the case was consolidated for pre-trial purposes with the In re Suboxone (Buprenorphine Hydrochloride and Naloxone) Antitrust Litigation, MDL No. 2445, or the Suboxone MDL, a multidistrict litigation relating to putative class actions on behalf of various private plaintiffs against Indivior relating to its launch of Suboxone Sublingual Film. While the Company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The Company moved to dismiss the States’ conspiracy claims, but by order dated October 30, 2017, the Court denied the Company's motion to dismiss. The Company filed an answer denying the States’ claims on November 20, 2017. Daubert motions were filed on September 28, 2020, and oppositions were filed on October 19, 2020. On February 19, 2021, the Court issued an order denying all Daubert motions. On March 8, 2021, Aquestive filed a motion for summary judgment, and briefing on summary judgment motions was completed on May 28, 2021. The hearing on Aquestive’s motion for summary judgment was held on May 18, 2022 and, on October 19, 2022, the Court entered an order dismissing all claims against the Company in the lawsuit. The order dismissing all claims against the Company could be appealed by the plaintiffs in this case. The Company is not able to determine or predict whether the plaintiffs will appeal the order or the ultimate outcome of this proceeding or provide a reasonable estimate or range of estimates of the possible outcome or loss, if any, in this matter.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Humana and Centene Action</w:t>
      </w:r>
      <w:r>
        <w:rPr>
          <w:rFonts w:ascii="Arial" w:cs="Arial" w:eastAsia="Arial" w:hAnsi="Arial"/>
          <w:sz w:val="12"/>
          <w:szCs w:val="12"/>
          <w:b w:val="1"/>
          <w:bCs w:val="1"/>
          <w:color w:val="auto"/>
        </w:rPr>
        <w:t>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Humana Inc. v. Indivior Inc, Indivior Solutions Inc., Indivior PLC, Reckitt Benckiser Healthcare (UK) Ltd., and Aquestive Therapeutics, Inc.</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u w:val="single" w:color="auto"/>
          <w:color w:val="auto"/>
        </w:rPr>
        <w:t>Centene Corporation, Wellcare Health Plans, Inc., New York Quality Healthcare Corporation d/b/a Fidelis Care, and Health Net, LLC v. Indivior Inc, Indivior Solutions Inc., Indivior PLC, Reckitt Benckiser Healthcare (UK) Ltd., and Aquestive Therapeutics, Inc.</w:t>
      </w:r>
    </w:p>
    <w:p>
      <w:pPr>
        <w:spacing w:after="0" w:line="133"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On September 18, 2020, Humana, Inc. (“Humana”), a health insurance payor, filed a lawsuit against the Company and Indivior in the Eastern District of Pennsylvania alleging facts similar to those at issue in the Antitrust Case and the Suboxone MDL described above, which lawsuit was assigned to the same judge that is presiding over Antitrust Case and Suboxone MDL. Humana’s Complaint alleges five causes of action against the Company, including conspiracy to violate the RICO Act, fraud under state law, unfair and deceptive trade practices under state law, insurance fraud, and unjust enrichment.</w:t>
      </w:r>
    </w:p>
    <w:p>
      <w:pPr>
        <w:spacing w:after="0" w:line="146"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On September 21, 2020, Centene Corporation (“Centene”) and other related insurance payors filed a similar lawsuit against the Company and Indivior in the Eastern District of Missouri. The counsel representing Humana is also representing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 w:name="page28"/>
    <w:bookmarkEnd w:id="27"/>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Centene in this matter. On September 21, 2020, the Centene action was provisionally transferred to the Eastern District of Pennsylvania by the United States Judicial Panel on Multidistrict Litigation. On January 15, 2021, the Company filed a motion to dismiss the Centene and Humana complaints. The Court in the Eastern District of Pennsylvania dismissed all complaints against the defendants in these matters on July 22, 2021. On August 20, 2021, Centene and Humana appealed the decision to the U.S. Appeals Court for the Third Circuit (“Third Circuit”). Also, on August 20, 2021, Humana filed a complaint in state court in Kentucky, alleging the same causes of action previously filed in the federal case in the Eastern District of Pennsylvania. That state court action is stayed pending resolution of the federal appeal in the Third Circuit. The Third Circuit appeal is fully briefed and oral argument was held on March 31, 2022. The parties are awaiting a ruling from the Third Circuit on the appeal. The Company is not able to determine or predict the ultimate outcome of this proceeding or provide a reasonable estimate or range of estimates of the possible outcome or loss, if any, in this matter.</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California Litigation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Neurelis, Inc. v. Aquestive Therapeutics, Inc.</w:t>
      </w:r>
    </w:p>
    <w:p>
      <w:pPr>
        <w:spacing w:after="0" w:line="15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0"/>
          <w:szCs w:val="10"/>
          <w:color w:val="auto"/>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Company filed a notice of appeal to the California Court of Appeal on September 1, 2020, and Neurelis filed a notice of cross-appeal on October 5, 2020. The Company filed its opening appeal brief on January 27, 2021, and briefing on the appeal ended on July 6, 2021. The Appeals Court held oral argument on the appeal on October 14, 2021, and issued its ruling on November 17, 2021. Under the ruling, the Court struck the entirety of the malicious prosecution claim and struck portions of the UCL and defamation claims. Aquestive filed a motion for attorney fees related to the anti-SLAPP motion on February 11, 2022. On April 12, 2022, Neurelis filed a Second Amended Complaint in response to the Court of Appeal's decision. The Second Amended Complaint also added a cause of action for Trade Libel. On May 3, 2022, Aquestive filed a "demurer" challenge to the sufficiency of the allegations of the Second Amended Complaint. Oral argument on Aquestive's motion for attorney fees related to the anti-SLAPP motion and on the Second Amended Complaint and demurer challenge was held on June 17, 2022. The Court entered an order granting Aquestive’s motion for attorney fees, awarding $156 and ordering Neurelis to pay the fees within 60 days of June 17, 2022. The Court denied Aquestive’s demurrer and the parties are</w:t>
      </w:r>
    </w:p>
    <w:p>
      <w:pPr>
        <w:jc w:val="both"/>
        <w:spacing w:after="0" w:line="260" w:lineRule="auto"/>
        <w:rPr>
          <w:sz w:val="20"/>
          <w:szCs w:val="20"/>
          <w:color w:val="auto"/>
        </w:rPr>
      </w:pPr>
      <w:r>
        <w:rPr>
          <w:rFonts w:ascii="Arial" w:cs="Arial" w:eastAsia="Arial" w:hAnsi="Arial"/>
          <w:sz w:val="12"/>
          <w:szCs w:val="12"/>
          <w:color w:val="auto"/>
        </w:rPr>
        <w:t>proceeding with discovery on the claims in the Second Amended Complaint. No trial date has been set. Company is not able to determine or predict the ultimate outcome of this proceeding or provide a reasonable estimate or range of estimates of the possible outcome or loss, if any, in this matter.</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Neurelis IPR Litigation</w:t>
      </w:r>
    </w:p>
    <w:p>
      <w:pPr>
        <w:spacing w:after="0" w:line="159"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2"/>
          <w:szCs w:val="12"/>
          <w:color w:val="auto"/>
        </w:rPr>
        <w:t>In the first quarter of 2019, Aquestive requested institution of three Inter Partes Reviews (“IPRs”) against Neurelis’ Orange Book method of treatment patent, US Patent No. 9,763,876 (‘876 Patent) for nasal administration of benzodiazepines (diazepam). The PTAB denied two of the requests and instituted the third request, which challenged all claims of the Neurelis ‘876 Patent. On August 6, 2020, the PTAB issued its final written decision finding all challenged claims of the ’876 Patent to be unpatentable. Neurelis appealed the decision to the U.S. Court of the Federal Circuit. On October 7, 2021, the Federal Circuit Court issued a per curium decision affirming the PTAB's final decision that the '876 Patent was unpatentable. The Federal Circuit Court issued a mandate closing the appeal period and an IPR Certificate was subsequently issued by the United States Patent and Trademark Office on January 21, 2022. No further appeals are available on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Federal Securities Class Action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Deanna Lewakowski v. Aquestive Therapeutics, Inc.</w:t>
      </w:r>
      <w:r>
        <w:rPr>
          <w:rFonts w:ascii="Arial" w:cs="Arial" w:eastAsia="Arial" w:hAnsi="Arial"/>
          <w:sz w:val="12"/>
          <w:szCs w:val="12"/>
          <w:i w:val="1"/>
          <w:iCs w:val="1"/>
          <w:u w:val="single" w:color="auto"/>
          <w:color w:val="auto"/>
        </w:rPr>
        <w:t>, et al</w:t>
      </w:r>
      <w:r>
        <w:rPr>
          <w:rFonts w:ascii="Arial" w:cs="Arial" w:eastAsia="Arial" w:hAnsi="Arial"/>
          <w:sz w:val="12"/>
          <w:szCs w:val="12"/>
          <w:i w:val="1"/>
          <w:iCs w:val="1"/>
          <w:color w:val="auto"/>
        </w:rPr>
        <w:t>.</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On March 1, 2021, a securities class action lawsuit was filed in the United States District Court of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Shareholder Derivative Litigation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Loreen Niewenhuis v. Keith Kendall,</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et al</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8" w:name="page29"/>
    <w:bookmarkEnd w:id="28"/>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spacing w:after="0" w:line="123"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0"/>
          <w:szCs w:val="10"/>
          <w:b w:val="1"/>
          <w:bCs w:val="1"/>
          <w:color w:val="auto"/>
        </w:rPr>
        <w:t>Subsequent Events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Continued Utilization of the At-The-Market Facility</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continued utilization of its At-The-Market facility from October 1 through October 31, 2022 and sold 351,150 shares of Common Stock which generated net proceeds of approximately $355.</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Positive Decision in States’ Suboxone Antitrust Lawsuit on All Claims</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 announced that the United States District Court for the Eastern District of Pennsylvania entered an order on October 19, 2022 dismissing all claims against the Company in the Suboxone antitrust lawsuit brought by a group of States’ Attorneys General against Indivior Inc. (f/k/a Reckitt Benckiser Pharmaceuticals, Inc.) and Aquestive, Case No. 16-cv-5073.</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Licensing Agreement with Assertio Holdings, Inc.</w:t>
      </w:r>
    </w:p>
    <w:p>
      <w:pPr>
        <w:spacing w:after="0" w:line="168" w:lineRule="exact"/>
        <w:rPr>
          <w:sz w:val="20"/>
          <w:szCs w:val="20"/>
          <w:color w:val="auto"/>
        </w:rPr>
      </w:pPr>
    </w:p>
    <w:p>
      <w:pPr>
        <w:jc w:val="both"/>
        <w:ind w:firstLine="432"/>
        <w:spacing w:after="0" w:line="145" w:lineRule="exact"/>
        <w:rPr>
          <w:sz w:val="20"/>
          <w:szCs w:val="20"/>
          <w:color w:val="auto"/>
        </w:rPr>
      </w:pPr>
      <w:r>
        <w:rPr>
          <w:rFonts w:ascii="Arial" w:cs="Arial" w:eastAsia="Arial" w:hAnsi="Arial"/>
          <w:sz w:val="11"/>
          <w:szCs w:val="11"/>
          <w:color w:val="auto"/>
        </w:rPr>
        <w:t>Effective October 26, 2022, the Company entered into a License Agreement with Otter Pharmaceuticals, LLC, a subsidiary of Assertio Holdings, Inc. (NASDAQ: ASRT) (“Assertio”), a specialty pharmaceutical company offering differentiated products to patients, to license Sympazan® (clobazam) oral film for the adjunctive treatment of seizures associated with Lennox</w:t>
      </w:r>
      <w:r>
        <w:rPr>
          <w:rFonts w:ascii="MS PGothic" w:cs="MS PGothic" w:eastAsia="MS PGothic" w:hAnsi="MS PGothic"/>
          <w:sz w:val="11"/>
          <w:szCs w:val="11"/>
          <w:color w:val="auto"/>
        </w:rPr>
        <w:t>‐</w:t>
      </w:r>
      <w:r>
        <w:rPr>
          <w:rFonts w:ascii="Arial" w:cs="Arial" w:eastAsia="Arial" w:hAnsi="Arial"/>
          <w:sz w:val="11"/>
          <w:szCs w:val="11"/>
          <w:color w:val="auto"/>
        </w:rPr>
        <w:t>Gastaut syndrome in patients aged two years of age or older (the "Assertio License Agreement"). Under the terms of the Assertio License Agreement, the Company granted an exclusive, worldwide license of its intellectual property for Sympazan to Assertio during the term of the Assertio License Agreement for an upfront payment of $9,000. Under the terms of the Assertio License Agreement, Aquestive will receive a $6,000 milestone payment within thirty (30) days after Aquestive's receipt of a notice of allowance from the United States Patent and Trademark Office (PTO) of the Company's patent application U.S. Serial No. 16/561,573, and payment by the Company of the related allowance fee. The Company received the notice of allowance from the PTO and paid the related allowance fee on October 27, 2022. In addition, under the Assertio License Agreement, the Company will receive royalties from Assertio for the sale of the product through the expiration of the Assertio License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9" w:name="page30"/>
    <w:bookmarkEnd w:id="29"/>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2021 and 2020 included in our 2021 Annual Report on Form 10-K. All dollar amounts are stated in thousands except for share data.</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13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1"/>
          <w:szCs w:val="11"/>
          <w:color w:val="auto"/>
        </w:rPr>
        <w:t>These forward-looking statements include, but are not limited to, statements regarding the advancement and related timing of AQST-109 and AQST-108 through the regulatory and development pipeline; the focus on continuing to manufacture Suboxone</w:t>
      </w:r>
      <w:r>
        <w:rPr>
          <w:rFonts w:ascii="Arial" w:cs="Arial" w:eastAsia="Arial" w:hAnsi="Arial"/>
          <w:sz w:val="14"/>
          <w:szCs w:val="14"/>
          <w:color w:val="auto"/>
          <w:vertAlign w:val="superscript"/>
        </w:rPr>
        <w:t>®</w:t>
      </w:r>
      <w:r>
        <w:rPr>
          <w:rFonts w:ascii="Arial" w:cs="Arial" w:eastAsia="Arial" w:hAnsi="Arial"/>
          <w:sz w:val="11"/>
          <w:szCs w:val="11"/>
          <w:color w:val="auto"/>
        </w:rPr>
        <w:t>, Exservan</w:t>
      </w:r>
      <w:r>
        <w:rPr>
          <w:rFonts w:ascii="Arial" w:cs="Arial" w:eastAsia="Arial" w:hAnsi="Arial"/>
          <w:sz w:val="14"/>
          <w:szCs w:val="14"/>
          <w:color w:val="auto"/>
          <w:vertAlign w:val="superscript"/>
        </w:rPr>
        <w:t>®</w:t>
      </w:r>
      <w:r>
        <w:rPr>
          <w:rFonts w:ascii="Arial" w:cs="Arial" w:eastAsia="Arial" w:hAnsi="Arial"/>
          <w:sz w:val="11"/>
          <w:szCs w:val="11"/>
          <w:color w:val="auto"/>
        </w:rPr>
        <w:t>, Sympazan® and other licensed products; the likelihood that we can overcome the seven year orphan drug exclusivity granted by the FDA for the approved nasal spray product of a competitor in the U.S. in order for Libervant® to be granted U.S. market access; clinical trial timing and plans for AQST-109 and AQST-108; the ability to fund our business operations; and business strategies, market opportunities,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we are unable to provide assurance that operations can be maintained as planned prior to the COVID-19 pandemic.</w:t>
      </w:r>
    </w:p>
    <w:p>
      <w:pPr>
        <w:spacing w:after="0" w:line="13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1"/>
          <w:szCs w:val="11"/>
          <w:color w:val="auto"/>
        </w:rPr>
        <w:t>These forward-looking statements are also based on our current expectations and beliefs and are subject to a number of risks and uncertainties that could cause actual results to differ materially from those described in the forward-looking statements. Such risks and uncertainties include, but are not limited to, the risk that we may not overcome the seven year orphan drug exclusivity granted by the FDA for the approved nasal spray product of a competitor in the U.S. in order for Libervant to be granted U.S. market access; risks associated with our development work, including any delays or changes to the timing, cost and success of our product development activities and clinical trials; risk of delays in regulatory advancement through the FDA of AQST-109 and our other drug candidates or failure to receive approval; the risk that a competitor obtains FDA orphan drug exclusivity for a product with the same active moiety as any of our other drug products for which we are seeking FDA approval and that such earlier approved competitor orphan drug blocks such other product candidates in the U.S. for seven years for the same indication; risk in obtaining market access for our product candidates for other reasons; risk inherent in commercializing a new product (including technology risks, financial risks, market risks and implementation risks and regulatory limitations); the risk of the failure to obtain U.S. market access for Libervant to restrict our ability to access additional funding under the Company's 12.5% Notes; risks and uncertainties concerning the revenue stream from the monetization of our royalty rights for the product KYNMOBI</w:t>
      </w:r>
      <w:r>
        <w:rPr>
          <w:rFonts w:ascii="Arial" w:cs="Arial" w:eastAsia="Arial" w:hAnsi="Arial"/>
          <w:sz w:val="14"/>
          <w:szCs w:val="14"/>
          <w:color w:val="auto"/>
          <w:vertAlign w:val="superscript"/>
        </w:rPr>
        <w:t>®</w:t>
      </w:r>
      <w:r>
        <w:rPr>
          <w:rFonts w:ascii="Arial" w:cs="Arial" w:eastAsia="Arial" w:hAnsi="Arial"/>
          <w:sz w:val="11"/>
          <w:szCs w:val="11"/>
          <w:color w:val="auto"/>
        </w:rPr>
        <w:t>, as well as the achievement of royalty targets worldwide or in any jurisdiction and certain other commercial targets required for contingent payments under the KYNMOBI monetization transaction; risk of development of our sales and marketing capabilities; risk of sufficient capital and cash resources, including access to available debt and equity financing, including under the Company's ATM facility and the Lincoln Park Purchase Agreement, and revenues from operations, to satisfy all of our short-term and longer-term cash requirements and other cash needs, at the times and in the amounts needed, including near-term debt amortization schedules; risk of failure to satisfy all financial and other debt covenants and of any default; short-term and long-term liquidity and cash requirements, cash funding and cash burn; risk related to government claims against Indivior for which we license, manufacture and sell Suboxone® and which accounts for the substantial part of our current operating revenues; risks related to the outsourcing of certain marketing and other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therefore; risk of loss of significant customers; risks related to claims and legal proceedings including patent infringement, securities, business torts,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 w:name="page31"/>
    <w:bookmarkEnd w:id="30"/>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investigative, product safety or efficacy and antitrust litigation matters; risk of product recalls and withdrawals; the COVID-19 pandemic and its impact on our business; uncertainties related to general economic, political, business, industry, regulatory and market conditions and other unusual items; and other uncertainties affecting us including those described in the "Risk Factors" section and in other sections included in this Annual Report on Form 10-K, in our Quarterly Reports on Form 10-Q, and in our Current Reports on Form 8-K filed with the Securities and Exchange Commission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 whether as a result of new information, future events or otherwise, except as may be required by applicable law.</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our 2021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are a pharmaceutical company advancing current standards of care to solve patients’ problems through simplifying complex delivery methods. The Company is developing pharmaceutical products to deliver complex molecules through alternative administrations to invasive and inconvenient standard of care therapies. Aquestive has five licensed commercialized products which are marketed by our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an early stage product pipeline for the treatment of severe allergic reactions, including anaphylaxis. The Company has also developed a product pipeline focused on treating diseases of the central nervous system, or CNS. Our production facilities are located in Portage, Indiana, and our corporate headquarters, sales and commercialization operations and primary research laboratory facilities are based in Warren, New Jersey.</w:t>
      </w:r>
    </w:p>
    <w:p>
      <w:pPr>
        <w:spacing w:after="0" w:line="14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manufacture licensed products at our FDA, Australian Government Department of Health's Therapeutics Goods Administration, or TGA, and Drug Enforcement Agency, or DEA, inspected facilities and anticipate that our current manufacturing capacity is sufficient for commercial quantities of our products and product candidates currently in development. Not all collaborative or licensed products of the Company that may be commercially launched in the future will necessarily be manufactured by us, such as the case with KYNMOBI®.</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Complex Molecule Portfolio</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We have also developed a proprietary pipeline of complex molecule-based product candidates as alternatives to invasively administered standard of care injectable therapeutics addressing large market opportunities.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active programs in our complex molecule pipeline portfolio are:</w:t>
      </w:r>
    </w:p>
    <w:p>
      <w:pPr>
        <w:spacing w:after="0" w:line="155" w:lineRule="exact"/>
        <w:rPr>
          <w:sz w:val="20"/>
          <w:szCs w:val="20"/>
          <w:color w:val="auto"/>
        </w:rPr>
      </w:pPr>
    </w:p>
    <w:p>
      <w:pPr>
        <w:jc w:val="both"/>
        <w:ind w:left="420" w:hanging="212"/>
        <w:spacing w:after="0" w:line="243" w:lineRule="auto"/>
        <w:tabs>
          <w:tab w:leader="none" w:pos="417"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AQST-109 </w:t>
      </w:r>
      <w:r>
        <w:rPr>
          <w:rFonts w:ascii="Arial" w:cs="Arial" w:eastAsia="Arial" w:hAnsi="Arial"/>
          <w:sz w:val="12"/>
          <w:szCs w:val="12"/>
          <w:color w:val="auto"/>
        </w:rPr>
        <w:t>– the first and only orally delivered epinephrine product candidate that has shown clinical results comparable to autoinjectors (such as EpiPen® and Auvi-Q®) for the emergency treatment of allergic reactions,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anaphylaxis. Epinephrine is the standard of care in the treatment of anaphylaxis and is currently administered via intramuscular injection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AQST-109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142" w:lineRule="exact"/>
        <w:rPr>
          <w:rFonts w:ascii="Arial" w:cs="Arial" w:eastAsia="Arial" w:hAnsi="Arial"/>
          <w:sz w:val="12"/>
          <w:szCs w:val="12"/>
          <w:b w:val="1"/>
          <w:bCs w:val="1"/>
          <w:color w:val="auto"/>
        </w:rPr>
      </w:pPr>
    </w:p>
    <w:p>
      <w:pPr>
        <w:jc w:val="both"/>
        <w:ind w:left="420"/>
        <w:spacing w:after="0" w:line="243" w:lineRule="auto"/>
        <w:rPr>
          <w:rFonts w:ascii="Arial" w:cs="Arial" w:eastAsia="Arial" w:hAnsi="Arial"/>
          <w:sz w:val="12"/>
          <w:szCs w:val="12"/>
          <w:b w:val="1"/>
          <w:bCs w:val="1"/>
          <w:color w:val="auto"/>
        </w:rPr>
      </w:pPr>
      <w:r>
        <w:rPr>
          <w:rFonts w:ascii="Arial" w:cs="Arial" w:eastAsia="Arial" w:hAnsi="Arial"/>
          <w:sz w:val="12"/>
          <w:szCs w:val="12"/>
          <w:color w:val="auto"/>
        </w:rPr>
        <w:t>We completed a first-in-human Phase 1 clinical trial for AQST-109 in Canada. This Phase 1 randomized, single-ascending dose study was performed in order to assess the safety, tolerability, and pharmacologic profile of AQST-109. On February 25, 2022, we reported positive topline data from Part 1 of our crossover study of AQST-109, EPIPHAST, a randomized, open-label, three-part adaptive design, crossover study in healthy adult subjects comparing the pharmacokinetics and pharmacodynamics of epinephrine delivered via AQST-109 oral film compared to intramuscular injection of epinephrine. The EPIPHAST study was also conducted in Canada. In Part 1 of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2" w:lineRule="exact"/>
        <w:rPr>
          <w:sz w:val="20"/>
          <w:szCs w:val="20"/>
          <w:color w:val="auto"/>
        </w:rPr>
      </w:pPr>
    </w:p>
    <w:p>
      <w:pPr>
        <w:jc w:val="both"/>
        <w:ind w:left="420"/>
        <w:spacing w:after="0" w:line="259" w:lineRule="auto"/>
        <w:rPr>
          <w:sz w:val="20"/>
          <w:szCs w:val="20"/>
          <w:color w:val="auto"/>
        </w:rPr>
      </w:pPr>
      <w:r>
        <w:rPr>
          <w:rFonts w:ascii="Arial" w:cs="Arial" w:eastAsia="Arial" w:hAnsi="Arial"/>
          <w:sz w:val="11"/>
          <w:szCs w:val="11"/>
          <w:color w:val="auto"/>
        </w:rPr>
        <w:t>EPIPHAST study, multiple oral film formulations and dosage strengths of AQST-109 were evaluated. The lead formulation of AQST-109 has shown clinically meaningful blood concentrations when delivered in two different physical configurations, with a median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intramuscular injection (IM) of epinephrine, allowing for a comparison with the pharmacokinetics, safety, and tolerability of the higher end of the approved dosage range of epinephrine, consistent with guidance received from the FDA in a written response to our Investigational New Drug Application (IND) for AQST-109. The findings show that these two configurations of the selected AQST-109 formulation can deliver clinically meaningful blood concentrations of epinephrine sooner than that observed with the higher dose of epinephrine IM injection, and in line with existing epinephrine autoinjectors. In addition, dosing with AQST-109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AQST-109 in the U.S. The FDA confirmed that 505(b)(2) approval pathway is acceptable for the development of AQST-109. The FDA granted Fast Track designation in March 2022 to AQST-109 for the emergency treatment of allergic reactions, including anaphylaxis.</w:t>
      </w:r>
    </w:p>
    <w:p>
      <w:pPr>
        <w:spacing w:after="0" w:line="138" w:lineRule="exact"/>
        <w:rPr>
          <w:sz w:val="20"/>
          <w:szCs w:val="20"/>
          <w:color w:val="auto"/>
        </w:rPr>
      </w:pPr>
    </w:p>
    <w:p>
      <w:pPr>
        <w:jc w:val="both"/>
        <w:ind w:left="420"/>
        <w:spacing w:after="0" w:line="281" w:lineRule="auto"/>
        <w:rPr>
          <w:sz w:val="20"/>
          <w:szCs w:val="20"/>
          <w:color w:val="auto"/>
        </w:rPr>
      </w:pPr>
      <w:r>
        <w:rPr>
          <w:rFonts w:ascii="Arial" w:cs="Arial" w:eastAsia="Arial" w:hAnsi="Arial"/>
          <w:sz w:val="11"/>
          <w:szCs w:val="11"/>
          <w:color w:val="auto"/>
        </w:rPr>
        <w:t>In April 2022, we reported positive topline results from Part 2 of the EPIPHAST study for AQST-109. Part 2 is a randomized, crossover design comparing AQST-109 12mg to epinephrine IM 0.3mg. Utilizing a replicate crossover design, Part 2 confirmed in a larger population of 24 healthy subjects the key pharmacokinetic (PK) and pharmacodynamic measures observed in Part 1 of the EPIPHAST study and the first-in-human PK study. The median time to maximum concentration (Tmax) was observed to be 15 minutes for AQST-109, compared to 50 minutes for the epinephrine 0.3mg intra-muscular (IM) injection.</w:t>
      </w:r>
    </w:p>
    <w:p>
      <w:pPr>
        <w:spacing w:after="0" w:line="123" w:lineRule="exact"/>
        <w:rPr>
          <w:sz w:val="20"/>
          <w:szCs w:val="20"/>
          <w:color w:val="auto"/>
        </w:rPr>
      </w:pPr>
    </w:p>
    <w:p>
      <w:pPr>
        <w:jc w:val="both"/>
        <w:ind w:left="420"/>
        <w:spacing w:after="0" w:line="272" w:lineRule="auto"/>
        <w:rPr>
          <w:sz w:val="20"/>
          <w:szCs w:val="20"/>
          <w:color w:val="auto"/>
        </w:rPr>
      </w:pPr>
      <w:r>
        <w:rPr>
          <w:rFonts w:ascii="Arial" w:cs="Arial" w:eastAsia="Arial" w:hAnsi="Arial"/>
          <w:sz w:val="11"/>
          <w:szCs w:val="11"/>
          <w:color w:val="auto"/>
        </w:rPr>
        <w:t>In July 2022, we reported positive topline results from the final two arms of Part 3 of the EPIPHAST study for AQST-109. The purpose of Part 3 was to continue to study the administration of the film under a variety of conditions to further characterize its pharmacokinetics, pharmacodynamics,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AQST-109 epinephrine oral film, after consuming a peanut butter sandwich. Part 3 study results also showed an unexpectedly high level of gastrointestinal absorption after swallowing AQST-109 whole immediately with water.</w:t>
      </w:r>
    </w:p>
    <w:p>
      <w:pPr>
        <w:spacing w:after="0" w:line="129" w:lineRule="exact"/>
        <w:rPr>
          <w:sz w:val="20"/>
          <w:szCs w:val="20"/>
          <w:color w:val="auto"/>
        </w:rPr>
      </w:pPr>
    </w:p>
    <w:p>
      <w:pPr>
        <w:jc w:val="both"/>
        <w:ind w:left="420"/>
        <w:spacing w:after="0" w:line="236" w:lineRule="auto"/>
        <w:rPr>
          <w:sz w:val="20"/>
          <w:szCs w:val="20"/>
          <w:color w:val="auto"/>
        </w:rPr>
      </w:pPr>
      <w:r>
        <w:rPr>
          <w:rFonts w:ascii="Arial" w:cs="Arial" w:eastAsia="Arial" w:hAnsi="Arial"/>
          <w:sz w:val="12"/>
          <w:szCs w:val="12"/>
          <w:color w:val="auto"/>
        </w:rPr>
        <w:t>In September 2022, we reported positive topline results from the EPIPHAST II trial for AQST-109. The EPIPHAST II trial was designed to compare single doses of AQST-109 to EpiPen® 0.3mg and epinephrine 0.3mg intramuscular (IM) injection, as well as repeat doses of AQST-109 to repeat doses of epinephrine 0.3mg IM injection. Results from the single dose administration showed AQST-109 achieved a significantly faster Tmax (12 minutes), compared to both EpiPen® (22.5 minutes) and epinephrine 0.3mg IM injection (45 minutes). AQST-109 repeat dosing provided significantly higher drug plasma concentrations, with a Tmax of 8 minutes after administration, and extensive absorption was observed. The mean maximum concentration (Cmax) of AQST-109 was 465 pg/mL after one dose and 2,958 pg/mL after two doses. In comparison, the epi 0.3mg IM injection Cmax was 489 pg/mL after one dose and 911 pg/mL after two doses. The single dose of EpiPen resulted in a Cmax of 869 pg/mL. Changes in systolic blood pressure and heart rate were similar after a single dose of AQST-109 when compared to a single dose of EpiPen. This data, along with the data from the complete EPIPHAST study, will be the basis for our second End-of-Phase 2 (EoP2) meeting with the FDA. We received a positive written feedback from the FDA after our initial EoP2 meeting request to discuss Chemistry, Manufacturing, and Controls (CMC) for AQST-109, which indicates that our approach to characterizing attributes of AQST-109 appears reasonable in the context of a potential future filing. We plan to obtain guidance and or concurrence on specific questions relating to the clinical components of a potential AQST-109 filing during the EoP2 meeting. At this meeting, we also anticipate receiving feedback on our EPIPHAST study data as well as the proposed clinical development plan for AQST-109. This meeting has been granted by the FDA and is scheduled to occur prior to the end of 2022.</w:t>
      </w:r>
    </w:p>
    <w:p>
      <w:pPr>
        <w:spacing w:after="0" w:line="142" w:lineRule="exact"/>
        <w:rPr>
          <w:sz w:val="20"/>
          <w:szCs w:val="20"/>
          <w:color w:val="auto"/>
        </w:rPr>
      </w:pPr>
    </w:p>
    <w:p>
      <w:pPr>
        <w:jc w:val="both"/>
        <w:ind w:left="420" w:hanging="212"/>
        <w:spacing w:after="0" w:line="275" w:lineRule="auto"/>
        <w:tabs>
          <w:tab w:leader="none" w:pos="417" w:val="left"/>
        </w:tabs>
        <w:numPr>
          <w:ilvl w:val="0"/>
          <w:numId w:val="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AQST-108 </w:t>
      </w:r>
      <w:r>
        <w:rPr>
          <w:rFonts w:ascii="Arial" w:cs="Arial" w:eastAsia="Arial" w:hAnsi="Arial"/>
          <w:sz w:val="11"/>
          <w:szCs w:val="11"/>
          <w:color w:val="auto"/>
        </w:rPr>
        <w:t>– is a sublingual film formulation delivering systemic epinephrine that is also in development by Aquestive for the treatment of conditions other than anaphylaxis. AQST-108 is composed of the prodrug dipivefrin</w:t>
      </w:r>
      <w:r>
        <w:rPr>
          <w:rFonts w:ascii="Arial" w:cs="Arial" w:eastAsia="Arial" w:hAnsi="Arial"/>
          <w:sz w:val="11"/>
          <w:szCs w:val="11"/>
          <w:b w:val="1"/>
          <w:bCs w:val="1"/>
          <w:color w:val="auto"/>
        </w:rPr>
        <w:t xml:space="preserve"> </w:t>
      </w:r>
      <w:r>
        <w:rPr>
          <w:rFonts w:ascii="Arial" w:cs="Arial" w:eastAsia="Arial" w:hAnsi="Arial"/>
          <w:sz w:val="11"/>
          <w:szCs w:val="11"/>
          <w:color w:val="auto"/>
        </w:rPr>
        <w:t>which is enzymatically cleaved systemically into epinephrine after administration. Dipivefrin is currently available outside of the U.S. for ophthalmic indications. Based on top-line results of a recent second Phase 1 PK trial in 28 healthy adult volunteers, AQST-108 was generally well-tolerated, with systemic adverse events observed that are consistent with the known adverse events profile for epinephrine. We are on track to request a pre-IND meeting for AQST-108 with the FDA in 2023 and plan to disclose the indication and path forward for development, once we have received feedback from the FDA.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 w:name="page33"/>
    <w:bookmarkEnd w:id="32"/>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jc w:val="both"/>
        <w:ind w:left="420" w:hanging="212"/>
        <w:spacing w:after="0" w:line="287" w:lineRule="auto"/>
        <w:tabs>
          <w:tab w:leader="none" w:pos="417"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AQST-305 </w:t>
      </w:r>
      <w:r>
        <w:rPr>
          <w:rFonts w:ascii="Arial" w:cs="Arial" w:eastAsia="Arial" w:hAnsi="Arial"/>
          <w:sz w:val="11"/>
          <w:szCs w:val="11"/>
          <w:color w:val="auto"/>
        </w:rPr>
        <w:t>– is a sublingual film formulation of octreotide, a small peptide that has a similar pharmacological profile to natural somatostatin, for the treatment of acromegaly, as well as severe diarrhea and flushing associated</w:t>
      </w:r>
      <w:r>
        <w:rPr>
          <w:rFonts w:ascii="Arial" w:cs="Arial" w:eastAsia="Arial" w:hAnsi="Arial"/>
          <w:sz w:val="11"/>
          <w:szCs w:val="11"/>
          <w:b w:val="1"/>
          <w:bCs w:val="1"/>
          <w:color w:val="auto"/>
        </w:rPr>
        <w:t xml:space="preserve"> </w:t>
      </w:r>
      <w:r>
        <w:rPr>
          <w:rFonts w:ascii="Arial" w:cs="Arial" w:eastAsia="Arial" w:hAnsi="Arial"/>
          <w:sz w:val="11"/>
          <w:szCs w:val="11"/>
          <w:color w:val="auto"/>
        </w:rPr>
        <w:t>with carcinoid syndrome. Acromegaly is a hormone disorder that results in the overproduction of growth hormone in middle-aged adults. Octreotide is the standard of care for the treatment of acromegaly. The current market leader, Sandostatin,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in the treatment cycle. AQST-305 has shown promising preclinical and human proof of concept results. While we focus our efforts on AQST-109, and AQST-108, in the short-term, we have taken the necessary steps to prepare AQST-305 for additional research trials.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CNS Products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initially focused the Company's proprietary product pipeline on certain difficult to treat CNS diseases, in the area of epilepsy, as follows:</w:t>
      </w:r>
    </w:p>
    <w:p>
      <w:pPr>
        <w:spacing w:after="0" w:line="162" w:lineRule="exact"/>
        <w:rPr>
          <w:sz w:val="20"/>
          <w:szCs w:val="20"/>
          <w:color w:val="auto"/>
        </w:rPr>
      </w:pPr>
    </w:p>
    <w:p>
      <w:pPr>
        <w:jc w:val="both"/>
        <w:ind w:left="420" w:hanging="212"/>
        <w:spacing w:after="0" w:line="244"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Sympazan</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 an oral soluble film formulation of clobazam used for the treatment of seizures associated with a rare, intractable form of epilepsy known as Lennox-Gastaut syndrome, or LGS, in patients aged two years of age</w:t>
      </w:r>
      <w:r>
        <w:rPr>
          <w:rFonts w:ascii="Arial" w:cs="Arial" w:eastAsia="Arial" w:hAnsi="Arial"/>
          <w:sz w:val="12"/>
          <w:szCs w:val="12"/>
          <w:b w:val="1"/>
          <w:bCs w:val="1"/>
          <w:color w:val="auto"/>
        </w:rPr>
        <w:t xml:space="preserve"> </w:t>
      </w:r>
      <w:r>
        <w:rPr>
          <w:rFonts w:ascii="Arial" w:cs="Arial" w:eastAsia="Arial" w:hAnsi="Arial"/>
          <w:sz w:val="12"/>
          <w:szCs w:val="12"/>
          <w:color w:val="auto"/>
        </w:rPr>
        <w:t>or older, was approved by the FDA on November 1, 2018. We commercially launched Sympazan in December 2018. Sympazan was launched as a precursor and complement to our product candidate Libervant. On October 26, 2022, the Company entered into a License Agreement with Otter Pharmaceuticals, LLC, a subsidiary of Assertio Holdings, Inc. (NASDAQ: ASRT) (“Assertio”), a specialty pharmaceutical company offering differentiated products to patients, pursuant to which the Company granted an exclusive, worldwide license of its intellectual property for Sympazan to Assertio during the term of that agreement. The Company is the exclusive sole manufacturer and supplier of Sympazan for Assertio.</w:t>
      </w:r>
    </w:p>
    <w:p>
      <w:pPr>
        <w:spacing w:after="0" w:line="156" w:lineRule="exact"/>
        <w:rPr>
          <w:rFonts w:ascii="Arial" w:cs="Arial" w:eastAsia="Arial" w:hAnsi="Arial"/>
          <w:sz w:val="12"/>
          <w:szCs w:val="12"/>
          <w:color w:val="auto"/>
        </w:rPr>
      </w:pPr>
    </w:p>
    <w:p>
      <w:pPr>
        <w:jc w:val="both"/>
        <w:ind w:left="420" w:hanging="212"/>
        <w:spacing w:after="0" w:line="258" w:lineRule="auto"/>
        <w:tabs>
          <w:tab w:leader="none" w:pos="412" w:val="left"/>
        </w:tabs>
        <w:numPr>
          <w:ilvl w:val="0"/>
          <w:numId w:val="8"/>
        </w:numPr>
        <w:rPr>
          <w:rFonts w:ascii="Arial" w:cs="Arial" w:eastAsia="Arial" w:hAnsi="Arial"/>
          <w:sz w:val="12"/>
          <w:szCs w:val="12"/>
          <w:color w:val="auto"/>
        </w:rPr>
      </w:pPr>
      <w:r>
        <w:rPr>
          <w:rFonts w:ascii="Arial" w:cs="Arial" w:eastAsia="Arial" w:hAnsi="Arial"/>
          <w:sz w:val="11"/>
          <w:szCs w:val="11"/>
          <w:b w:val="1"/>
          <w:bCs w:val="1"/>
          <w:color w:val="auto"/>
        </w:rPr>
        <w:t xml:space="preserve">Libervant™ </w:t>
      </w:r>
      <w:r>
        <w:rPr>
          <w:rFonts w:ascii="Arial" w:cs="Arial" w:eastAsia="Arial" w:hAnsi="Arial"/>
          <w:sz w:val="11"/>
          <w:szCs w:val="11"/>
          <w:color w:val="auto"/>
        </w:rPr>
        <w:t>– a buccally, or inside of the cheek, administered soluble film formulation of diazepam is our most advanced proprietary investigational product candidate. Aquestive is developing Libervant as an alternative to</w:t>
      </w:r>
      <w:r>
        <w:rPr>
          <w:rFonts w:ascii="Arial" w:cs="Arial" w:eastAsia="Arial" w:hAnsi="Arial"/>
          <w:sz w:val="11"/>
          <w:szCs w:val="11"/>
          <w:b w:val="1"/>
          <w:bCs w:val="1"/>
          <w:color w:val="auto"/>
        </w:rPr>
        <w:t xml:space="preserve"> </w:t>
      </w:r>
      <w:r>
        <w:rPr>
          <w:rFonts w:ascii="Arial" w:cs="Arial" w:eastAsia="Arial" w:hAnsi="Arial"/>
          <w:sz w:val="11"/>
          <w:szCs w:val="11"/>
          <w:color w:val="auto"/>
        </w:rPr>
        <w:t>device-dependent rescue therapies currently available to patients with refractory epilepsy, which are a rectal gel and nasal sprays. In August 2022, the FDA granted tentative approval for Libervant for the acute treatment of intermittent, stereotypic episodes of frequent seizure activity (i.e.,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Libervant is not yet eligible for marketing in the United States. As a result of the FDA determination, the Agency cannot give final approval for Libervant until the expiration or inapplicability of the orphan drug market exclusivity, including, for example, by a reversal of the FDA’s decision and determination that Libervant is “clinically superior” to Valtoco. We are actively engaging the FDA regarding its determination.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However, overcoming the orphan drug marketing exclusivity is difficult to establish, with limited precedent, and there can be no assurance that the FDA will agree with our position seeking to overcome such marketing exclusivity and approve Libervant for U.S. market access. Further, there can be no assurance that a competitor will not obtain other FDA marketing exclusivity that blocks U.S. market access for Libervant. More details on this product approval are described in the “Competition” section of Item I. Business of our 2021 Annual Report on Form 10-K.</w:t>
      </w:r>
    </w:p>
    <w:p>
      <w:pPr>
        <w:spacing w:after="0" w:line="134" w:lineRule="exact"/>
        <w:rPr>
          <w:rFonts w:ascii="Arial" w:cs="Arial" w:eastAsia="Arial" w:hAnsi="Arial"/>
          <w:sz w:val="12"/>
          <w:szCs w:val="12"/>
          <w:color w:val="auto"/>
        </w:rPr>
      </w:pPr>
    </w:p>
    <w:p>
      <w:pPr>
        <w:jc w:val="both"/>
        <w:ind w:left="420"/>
        <w:spacing w:after="0" w:line="281" w:lineRule="auto"/>
        <w:rPr>
          <w:rFonts w:ascii="Arial" w:cs="Arial" w:eastAsia="Arial" w:hAnsi="Arial"/>
          <w:sz w:val="12"/>
          <w:szCs w:val="12"/>
          <w:color w:val="auto"/>
        </w:rPr>
      </w:pPr>
      <w:r>
        <w:rPr>
          <w:rFonts w:ascii="Arial" w:cs="Arial" w:eastAsia="Arial" w:hAnsi="Arial"/>
          <w:sz w:val="11"/>
          <w:szCs w:val="11"/>
          <w:color w:val="auto"/>
        </w:rPr>
        <w:t>In September 2022, we announced the grant of an exclusive license to Atnahs Pharma UK Limited ("Pharmanovia") for Pharmanovia to develop and commercialize Libervant (diazepam) Buccal Film for the treatment of prolonged or acute, convulsive seizures in all ages in certain countries of the European Union, the United Kingdom, Switzerland, Norway and the Middle East and North Africa ("Territory") during the term of the Pharmanovia Agreement. Pharmanovia will lead the regulatory and commercialization activities for Libervant in the Territory and the Company will serve as the exclusive sole manufacturer and supplier of Libervant in the Territory.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Licensed Commercial Products and Product Candidates</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portfolio also includes other products and product candidates that we have licensed, or will seek to license, or for which we have licensed our intellectual property for commercialization. In the years ended December 31, 2021 and 2020,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licensed product portfolio generated $42.3 million and $40.2 million in revenue to Aquestive, respectively. Those products include:</w:t>
      </w:r>
    </w:p>
    <w:p>
      <w:pPr>
        <w:spacing w:after="0" w:line="164" w:lineRule="exact"/>
        <w:rPr>
          <w:sz w:val="20"/>
          <w:szCs w:val="20"/>
          <w:color w:val="auto"/>
        </w:rPr>
      </w:pPr>
    </w:p>
    <w:p>
      <w:pPr>
        <w:jc w:val="both"/>
        <w:ind w:left="420" w:hanging="212"/>
        <w:spacing w:after="0" w:line="269"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b w:val="1"/>
          <w:bCs w:val="1"/>
          <w:color w:val="auto"/>
        </w:rPr>
        <w:t>Suboxone</w:t>
      </w:r>
      <w:r>
        <w:rPr>
          <w:rFonts w:ascii="Arial" w:cs="Arial" w:eastAsia="Arial" w:hAnsi="Arial"/>
          <w:sz w:val="14"/>
          <w:szCs w:val="14"/>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 a sublingual film formulation of buprenorphine and naloxone, respectively an opioid agonist and antagonist, that is marketed in the United States and internationally for the treatment of opioid dependence.</w:t>
      </w:r>
      <w:r>
        <w:rPr>
          <w:rFonts w:ascii="Arial" w:cs="Arial" w:eastAsia="Arial" w:hAnsi="Arial"/>
          <w:sz w:val="11"/>
          <w:szCs w:val="11"/>
          <w:b w:val="1"/>
          <w:bCs w:val="1"/>
          <w:color w:val="auto"/>
        </w:rPr>
        <w:t xml:space="preserve"> </w:t>
      </w:r>
      <w:r>
        <w:rPr>
          <w:rFonts w:ascii="Arial" w:cs="Arial" w:eastAsia="Arial" w:hAnsi="Arial"/>
          <w:sz w:val="11"/>
          <w:szCs w:val="11"/>
          <w:color w:val="auto"/>
        </w:rPr>
        <w:t>Suboxone Sublingual Film was launched by our licensee, Indivior Inc., or Indivior, in 2010. Suboxone is the most prescribed branded product in its category and was the first sublingual film product for the treatment of opioid dependence. We are the sole and exclusive supplier and manufacturer of Suboxone Sublingual Film and have produced over 2.3 billion doses of Suboxone since its launch in 2010. As of September 30, 2022, Suboxone branded products retain approximately 35%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Contingencies, contained herein.</w:t>
      </w:r>
    </w:p>
    <w:p>
      <w:pPr>
        <w:spacing w:after="0" w:line="141" w:lineRule="exact"/>
        <w:rPr>
          <w:rFonts w:ascii="Arial" w:cs="Arial" w:eastAsia="Arial" w:hAnsi="Arial"/>
          <w:sz w:val="11"/>
          <w:szCs w:val="11"/>
          <w:color w:val="auto"/>
        </w:rPr>
      </w:pPr>
    </w:p>
    <w:p>
      <w:pPr>
        <w:jc w:val="both"/>
        <w:ind w:left="420" w:hanging="212"/>
        <w:spacing w:after="0" w:line="254" w:lineRule="auto"/>
        <w:tabs>
          <w:tab w:leader="none" w:pos="394" w:val="left"/>
        </w:tabs>
        <w:numPr>
          <w:ilvl w:val="0"/>
          <w:numId w:val="9"/>
        </w:numPr>
        <w:rPr>
          <w:rFonts w:ascii="Arial" w:cs="Arial" w:eastAsia="Arial" w:hAnsi="Arial"/>
          <w:sz w:val="12"/>
          <w:szCs w:val="12"/>
          <w:color w:val="auto"/>
        </w:rPr>
      </w:pPr>
      <w:r>
        <w:rPr>
          <w:rFonts w:ascii="Arial" w:cs="Arial" w:eastAsia="Arial" w:hAnsi="Arial"/>
          <w:sz w:val="11"/>
          <w:szCs w:val="11"/>
          <w:b w:val="1"/>
          <w:bCs w:val="1"/>
          <w:color w:val="auto"/>
        </w:rPr>
        <w:t>Exservan</w:t>
      </w:r>
      <w:r>
        <w:rPr>
          <w:rFonts w:ascii="Arial" w:cs="Arial" w:eastAsia="Arial" w:hAnsi="Arial"/>
          <w:sz w:val="14"/>
          <w:szCs w:val="14"/>
          <w:b w:val="1"/>
          <w:bCs w:val="1"/>
          <w:color w:val="auto"/>
          <w:vertAlign w:val="superscript"/>
        </w:rPr>
        <w:t>TM</w:t>
      </w:r>
      <w:r>
        <w:rPr>
          <w:rFonts w:ascii="Arial" w:cs="Arial" w:eastAsia="Arial" w:hAnsi="Arial"/>
          <w:sz w:val="11"/>
          <w:szCs w:val="11"/>
          <w:b w:val="1"/>
          <w:bCs w:val="1"/>
          <w:color w:val="auto"/>
        </w:rPr>
        <w:t xml:space="preserve"> </w:t>
      </w:r>
      <w:r>
        <w:rPr>
          <w:rFonts w:ascii="Arial" w:cs="Arial" w:eastAsia="Arial" w:hAnsi="Arial"/>
          <w:sz w:val="11"/>
          <w:szCs w:val="11"/>
          <w:color w:val="auto"/>
        </w:rPr>
        <w:t>(riluzole) – an oral film formulation of riluzole, has been developed by the Company for the treatment of amyotrophic lateral sclerosis (ALS). We believe that Exservan can bring meaningful assistance to patients</w:t>
      </w:r>
      <w:r>
        <w:rPr>
          <w:rFonts w:ascii="Arial" w:cs="Arial" w:eastAsia="Arial" w:hAnsi="Arial"/>
          <w:sz w:val="11"/>
          <w:szCs w:val="11"/>
          <w:b w:val="1"/>
          <w:bCs w:val="1"/>
          <w:color w:val="auto"/>
        </w:rPr>
        <w:t xml:space="preserve"> </w:t>
      </w:r>
      <w:r>
        <w:rPr>
          <w:rFonts w:ascii="Arial" w:cs="Arial" w:eastAsia="Arial" w:hAnsi="Arial"/>
          <w:sz w:val="11"/>
          <w:szCs w:val="11"/>
          <w:color w:val="auto"/>
        </w:rPr>
        <w:t>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w:t>
      </w:r>
    </w:p>
    <w:p>
      <w:pPr>
        <w:spacing w:after="0" w:line="147" w:lineRule="exact"/>
        <w:rPr>
          <w:sz w:val="20"/>
          <w:szCs w:val="20"/>
          <w:color w:val="auto"/>
        </w:rPr>
      </w:pPr>
    </w:p>
    <w:p>
      <w:pPr>
        <w:jc w:val="both"/>
        <w:ind w:left="420"/>
        <w:spacing w:after="0" w:line="298" w:lineRule="auto"/>
        <w:rPr>
          <w:sz w:val="20"/>
          <w:szCs w:val="20"/>
          <w:color w:val="auto"/>
        </w:rPr>
      </w:pPr>
      <w:r>
        <w:rPr>
          <w:rFonts w:ascii="Arial" w:cs="Arial" w:eastAsia="Arial" w:hAnsi="Arial"/>
          <w:sz w:val="11"/>
          <w:szCs w:val="11"/>
          <w:color w:val="auto"/>
        </w:rPr>
        <w:t>In January 2021, we announced that the Company granted an exclusive license to Mitsubishi Tanabe Pharma Holdings America, Inc.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spacing w:after="0" w:line="123" w:lineRule="exact"/>
        <w:rPr>
          <w:sz w:val="20"/>
          <w:szCs w:val="20"/>
          <w:color w:val="auto"/>
        </w:rPr>
      </w:pPr>
    </w:p>
    <w:p>
      <w:pPr>
        <w:jc w:val="both"/>
        <w:ind w:left="420" w:right="20"/>
        <w:spacing w:after="0" w:line="323" w:lineRule="auto"/>
        <w:rPr>
          <w:sz w:val="20"/>
          <w:szCs w:val="20"/>
          <w:color w:val="auto"/>
        </w:rPr>
      </w:pPr>
      <w:r>
        <w:rPr>
          <w:rFonts w:ascii="Arial" w:cs="Arial" w:eastAsia="Arial" w:hAnsi="Arial"/>
          <w:sz w:val="11"/>
          <w:szCs w:val="11"/>
          <w:color w:val="auto"/>
        </w:rPr>
        <w:t>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w:t>
      </w:r>
    </w:p>
    <w:p>
      <w:pPr>
        <w:spacing w:after="0" w:line="106" w:lineRule="exact"/>
        <w:rPr>
          <w:sz w:val="20"/>
          <w:szCs w:val="20"/>
          <w:color w:val="auto"/>
        </w:rPr>
      </w:pPr>
    </w:p>
    <w:p>
      <w:pPr>
        <w:jc w:val="both"/>
        <w:ind w:left="420" w:hanging="212"/>
        <w:spacing w:after="0" w:line="233" w:lineRule="auto"/>
        <w:tabs>
          <w:tab w:leader="none" w:pos="413" w:val="left"/>
        </w:tabs>
        <w:numPr>
          <w:ilvl w:val="0"/>
          <w:numId w:val="10"/>
        </w:numPr>
        <w:rPr>
          <w:rFonts w:ascii="Arial" w:cs="Arial" w:eastAsia="Arial" w:hAnsi="Arial"/>
          <w:sz w:val="11"/>
          <w:szCs w:val="11"/>
          <w:b w:val="1"/>
          <w:bCs w:val="1"/>
          <w:i w:val="1"/>
          <w:iCs w:val="1"/>
          <w:color w:val="auto"/>
        </w:rPr>
      </w:pPr>
      <w:r>
        <w:rPr>
          <w:rFonts w:ascii="Arial" w:cs="Arial" w:eastAsia="Arial" w:hAnsi="Arial"/>
          <w:sz w:val="12"/>
          <w:szCs w:val="12"/>
          <w:b w:val="1"/>
          <w:bCs w:val="1"/>
          <w:color w:val="auto"/>
        </w:rPr>
        <w:t>KYNMOBI</w:t>
      </w:r>
      <w:r>
        <w:rPr>
          <w:rFonts w:ascii="Arial" w:cs="Arial" w:eastAsia="Arial" w:hAnsi="Arial"/>
          <w:sz w:val="15"/>
          <w:szCs w:val="15"/>
          <w:color w:val="auto"/>
          <w:vertAlign w:val="superscript"/>
        </w:rPr>
        <w:t>®</w:t>
      </w:r>
      <w:r>
        <w:rPr>
          <w:rFonts w:ascii="Arial" w:cs="Arial" w:eastAsia="Arial" w:hAnsi="Arial"/>
          <w:sz w:val="12"/>
          <w:szCs w:val="12"/>
          <w:color w:val="auto"/>
        </w:rPr>
        <w:t>– a sublingual film formulation of apomorphine, which is a dopamine agonist, was developed to treat episodic off-periods in Parkinson’s disease. We licensed our intellectual property to Cynapsus Therapeutics,</w:t>
      </w:r>
      <w:r>
        <w:rPr>
          <w:rFonts w:ascii="Arial" w:cs="Arial" w:eastAsia="Arial" w:hAnsi="Arial"/>
          <w:sz w:val="12"/>
          <w:szCs w:val="12"/>
          <w:b w:val="1"/>
          <w:bCs w:val="1"/>
          <w:color w:val="auto"/>
        </w:rPr>
        <w:t xml:space="preserve"> </w:t>
      </w:r>
      <w:r>
        <w:rPr>
          <w:rFonts w:ascii="Arial" w:cs="Arial" w:eastAsia="Arial" w:hAnsi="Arial"/>
          <w:sz w:val="12"/>
          <w:szCs w:val="12"/>
          <w:color w:val="auto"/>
        </w:rPr>
        <w:t>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p>
    <w:p>
      <w:pPr>
        <w:spacing w:after="0" w:line="151" w:lineRule="exact"/>
        <w:rPr>
          <w:rFonts w:ascii="Arial" w:cs="Arial" w:eastAsia="Arial" w:hAnsi="Arial"/>
          <w:sz w:val="11"/>
          <w:szCs w:val="11"/>
          <w:b w:val="1"/>
          <w:bCs w:val="1"/>
          <w:i w:val="1"/>
          <w:iCs w:val="1"/>
          <w:color w:val="auto"/>
        </w:rPr>
      </w:pPr>
    </w:p>
    <w:p>
      <w:pPr>
        <w:jc w:val="both"/>
        <w:ind w:left="420" w:hanging="212"/>
        <w:spacing w:after="0" w:line="244" w:lineRule="auto"/>
        <w:tabs>
          <w:tab w:leader="none" w:pos="417"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Zuplenz </w:t>
      </w:r>
      <w:r>
        <w:rPr>
          <w:rFonts w:ascii="Arial" w:cs="Arial" w:eastAsia="Arial" w:hAnsi="Arial"/>
          <w:sz w:val="12"/>
          <w:szCs w:val="12"/>
          <w:color w:val="auto"/>
        </w:rPr>
        <w:t>– an oral soluble film formulation of ondansetron, a 5-HT antagonist, was developed for the treatment of nausea and vomiting associated with chemotherapy and post-operative recovery. Ondansetron is available as</w:t>
      </w:r>
      <w:r>
        <w:rPr>
          <w:rFonts w:ascii="Arial" w:cs="Arial" w:eastAsia="Arial" w:hAnsi="Arial"/>
          <w:sz w:val="12"/>
          <w:szCs w:val="12"/>
          <w:b w:val="1"/>
          <w:bCs w:val="1"/>
          <w:color w:val="auto"/>
        </w:rPr>
        <w:t xml:space="preserve"> </w:t>
      </w:r>
      <w:r>
        <w:rPr>
          <w:rFonts w:ascii="Arial" w:cs="Arial" w:eastAsia="Arial" w:hAnsi="Arial"/>
          <w:sz w:val="12"/>
          <w:szCs w:val="12"/>
          <w:color w:val="auto"/>
        </w:rPr>
        <w:t>branded and generic products as intravenous injections, intramuscular injections, orally dissolving tablets, oral solution tablets, and film. We licensed commercial rights for Zuplenz to Hypera in Brazil (which Hypera refers as to Ondif). Hypera received approval to market Zuplenz in Brazil from the Brazilian regulatory authority (ANVISA) on February 21, 2022.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 w:name="page35"/>
    <w:bookmarkEnd w:id="34"/>
    <w:p>
      <w:pPr>
        <w:ind w:left="8"/>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ind w:left="428"/>
        <w:spacing w:after="0" w:line="260" w:lineRule="auto"/>
        <w:rPr>
          <w:sz w:val="20"/>
          <w:szCs w:val="20"/>
          <w:color w:val="auto"/>
        </w:rPr>
      </w:pPr>
      <w:r>
        <w:rPr>
          <w:rFonts w:ascii="Arial" w:cs="Arial" w:eastAsia="Arial" w:hAnsi="Arial"/>
          <w:sz w:val="12"/>
          <w:szCs w:val="12"/>
          <w:color w:val="auto"/>
        </w:rPr>
        <w:t>Fortovia was terminated, and all rights to commercialize Zuplenz returned to us, effective January 30, 2021. While not expected to be a material product for us, we are seeking a new partner to commercialize Zuplenz in the United States.</w:t>
      </w:r>
    </w:p>
    <w:p>
      <w:pPr>
        <w:spacing w:after="0" w:line="138" w:lineRule="exact"/>
        <w:rPr>
          <w:sz w:val="20"/>
          <w:szCs w:val="20"/>
          <w:color w:val="auto"/>
        </w:rPr>
      </w:pPr>
    </w:p>
    <w:p>
      <w:pPr>
        <w:jc w:val="both"/>
        <w:ind w:left="428" w:hanging="212"/>
        <w:spacing w:after="0" w:line="259" w:lineRule="auto"/>
        <w:tabs>
          <w:tab w:leader="none" w:pos="425" w:val="left"/>
        </w:tabs>
        <w:numPr>
          <w:ilvl w:val="0"/>
          <w:numId w:val="11"/>
        </w:numPr>
        <w:rPr>
          <w:rFonts w:ascii="Arial" w:cs="Arial" w:eastAsia="Arial" w:hAnsi="Arial"/>
          <w:sz w:val="11"/>
          <w:szCs w:val="11"/>
          <w:color w:val="auto"/>
        </w:rPr>
      </w:pPr>
      <w:r>
        <w:rPr>
          <w:rFonts w:ascii="Arial" w:cs="Arial" w:eastAsia="Arial" w:hAnsi="Arial"/>
          <w:sz w:val="11"/>
          <w:szCs w:val="11"/>
          <w:b w:val="1"/>
          <w:bCs w:val="1"/>
          <w:color w:val="auto"/>
        </w:rPr>
        <w:t>Azstarys</w:t>
      </w:r>
      <w:r>
        <w:rPr>
          <w:rFonts w:ascii="Arial" w:cs="Arial" w:eastAsia="Arial" w:hAnsi="Arial"/>
          <w:sz w:val="14"/>
          <w:szCs w:val="14"/>
          <w:color w:val="auto"/>
          <w:vertAlign w:val="superscript"/>
        </w:rPr>
        <w:t>TM</w:t>
      </w:r>
      <w:r>
        <w:rPr>
          <w:rFonts w:ascii="Arial" w:cs="Arial" w:eastAsia="Arial" w:hAnsi="Arial"/>
          <w:sz w:val="11"/>
          <w:szCs w:val="11"/>
          <w:b w:val="1"/>
          <w:bCs w:val="1"/>
          <w:color w:val="auto"/>
        </w:rPr>
        <w:t xml:space="preserve"> </w:t>
      </w:r>
      <w:r>
        <w:rPr>
          <w:rFonts w:ascii="Arial" w:cs="Arial" w:eastAsia="Arial" w:hAnsi="Arial"/>
          <w:sz w:val="11"/>
          <w:szCs w:val="11"/>
          <w:color w:val="auto"/>
        </w:rPr>
        <w:t>– an FDA-approved, once-daily product for the treatment of attention deficit hyperactivity disorder (ADHD) in patients age six years or older. AZSTARYS consists of serdexmethylphenidate, KemPharm’s prodrug</w:t>
      </w:r>
      <w:r>
        <w:rPr>
          <w:rFonts w:ascii="Arial" w:cs="Arial" w:eastAsia="Arial" w:hAnsi="Arial"/>
          <w:sz w:val="11"/>
          <w:szCs w:val="11"/>
          <w:b w:val="1"/>
          <w:bCs w:val="1"/>
          <w:color w:val="auto"/>
        </w:rPr>
        <w:t xml:space="preserve"> </w:t>
      </w:r>
      <w:r>
        <w:rPr>
          <w:rFonts w:ascii="Arial" w:cs="Arial" w:eastAsia="Arial" w:hAnsi="Arial"/>
          <w:sz w:val="11"/>
          <w:szCs w:val="11"/>
          <w:color w:val="auto"/>
        </w:rPr>
        <w:t>of d-methylphenidate (d-MPH), co-formulated with immediate release d-MPH. In March 2012, the Company entered into an agreement with KemPharm, Inc. (“KemPharm”), to terminate a Collaboration and License Agreement entered into by the Company and KemPharm in April 2011. Under this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$1,000 from its 10% share of milestone payments paid to KemPharm, under its licensing of KP-415 and KP-484 to a third party. The Company also received payment of $500 under this arrangement, which was included in License and royalty revenues for the year ended December 31, 2020, in connection with the FDA's acceptance of a New Drug Application ("NDA") filing for KP-415. On March 2, 2021, KemPharm announced FDA approval of KP 415 (AZTARYSTM) a new once-daily treatment for ADHD. For the year ended December 31, 2021, the Company received payment of $2,000 under this arrangement, which was included in License and royalty revenues.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Business Update Regarding COVID-19</w:t>
      </w:r>
    </w:p>
    <w:p>
      <w:pPr>
        <w:spacing w:after="0" w:line="168" w:lineRule="exact"/>
        <w:rPr>
          <w:sz w:val="20"/>
          <w:szCs w:val="20"/>
          <w:color w:val="auto"/>
        </w:rPr>
      </w:pPr>
    </w:p>
    <w:p>
      <w:pPr>
        <w:jc w:val="both"/>
        <w:ind w:left="8" w:firstLine="432"/>
        <w:spacing w:after="0" w:line="272" w:lineRule="auto"/>
        <w:rPr>
          <w:sz w:val="20"/>
          <w:szCs w:val="20"/>
          <w:color w:val="auto"/>
        </w:rPr>
      </w:pPr>
      <w:r>
        <w:rPr>
          <w:rFonts w:ascii="Arial" w:cs="Arial" w:eastAsia="Arial" w:hAnsi="Arial"/>
          <w:sz w:val="11"/>
          <w:szCs w:val="11"/>
          <w:color w:val="auto"/>
        </w:rPr>
        <w:t>The current COVID-19 pandemic has continued to present substantial health and economic risks, uncertainties and challenges to our business, the U.S. and global economies and financial markets. It is not currently possible to predict how long the pandemic will last or the time it will take for the economy to return to prior levels. 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timing or efficacy of any vaccine, and new information that will emerge concerning the short-term and long-term impact of COVID-19.</w:t>
      </w:r>
    </w:p>
    <w:p>
      <w:pPr>
        <w:spacing w:after="0" w:line="129"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 one of whom delayed remittance of certain payments due to us for development services provided but ultimately made such payments.</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There have been no material changes to our critical accounting policies and use of estimates as previously disclosed in our 2021 Annual Report on Form 10-K.</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JOBS Act</w:t>
      </w:r>
    </w:p>
    <w:p>
      <w:pPr>
        <w:spacing w:after="0" w:line="16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April 5, 2012, the Jumpstart Our Business Startups Act, or the JOBS Act, was enacted. The JOBS Act provides that, among other things, an emerging growth company can take advantage of an extended transition period for complying with new or revised accounting standards. As an emerging growth company, we have elected to take advantage of the extended transition period afforded by the JOBS Act for the implementation of new or revised accounting standards and, as a result, we will comply with new or revised accounting standards not later than on the relevant dates on which adoption of such standards is required for emerging growth companies.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0"/>
          <w:szCs w:val="10"/>
          <w:color w:val="auto"/>
        </w:rPr>
        <w:t>In addition, we intend to rely on the other exemptions and reduced reporting requirements provided by the JOBS Act, subject to certain conditions contained therein and, as a result, we are not required to, among other things,</w:t>
      </w:r>
    </w:p>
    <w:p>
      <w:pPr>
        <w:spacing w:after="0" w:line="38" w:lineRule="exact"/>
        <w:rPr>
          <w:sz w:val="20"/>
          <w:szCs w:val="20"/>
          <w:color w:val="auto"/>
        </w:rPr>
      </w:pPr>
    </w:p>
    <w:p>
      <w:pPr>
        <w:jc w:val="both"/>
        <w:ind w:left="8" w:hanging="8"/>
        <w:spacing w:after="0" w:line="255" w:lineRule="auto"/>
        <w:tabs>
          <w:tab w:leader="none" w:pos="154"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or (iii) disclose certain executive compensation-related items such as the correlation between executive compensation and performance and comparisons of the Chief Executive Officer’s compensation to median employee compensation. These exemptions will apply for a period of five</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35" w:name="page36"/>
    <w:bookmarkEnd w:id="35"/>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years following the consummation of our IPO or until we no longer meet the requirements of being an emerging growth company, whichever is earlier.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also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and certain reduced financial disclosures in our periodic reports.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revenues to date have been earned from our manufactured products made to order for licensees, as well as revenue from our self-developed, self-commercialized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Manufacture and Supply Revenue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manufacture based on receipt of purchase orders from our licensees, and our licensees have an obligation to accept these orders once quality assurance validates the quality of the manufactured product with agreed upon technical specifications.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Co-development and Research Fees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and Royalty Revenue</w:t>
      </w:r>
    </w:p>
    <w:p>
      <w:pPr>
        <w:spacing w:after="0" w:line="168"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2"/>
          <w:szCs w:val="12"/>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 "Royalty Revenue and Interest Expense related to Sale of Future Revenue".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Proprietary Product Sales, Net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commercialized our first proprietary CNS product, Sympazan, in December 2018. Prior to our license of the product on October 26, 2022, we sold Sympazan through wholesalers for distribution through retail and specialty pharmacies. Revenues from sales of proprietary product are recorded net of prompt payment discounts, wholesaler service fees, returns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6" w:name="page37"/>
    <w:bookmarkEnd w:id="36"/>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Costs and Expenses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costs and expenses are primarily the result of the following activities: generation of manufacture and supply revenues; development of our pipeline of proprietary product candidates; and selling, general and administrative expenses, including 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Manufacture and Supply Costs and Expenses</w:t>
      </w:r>
    </w:p>
    <w:p>
      <w:pPr>
        <w:spacing w:after="0" w:line="16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Manufacture and supply costs and expenses are primarily incurred from the manufacture of our commercialized licensed pharmaceutical products and for our self-developed, self-commercialized, approved proprietary product,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14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expect to continue to seek to rationalize and manage costs to reflect the declining production volumes of Suboxone. We reduced the cost of manufacturing and supply in late 2019 and continued throughout 2020 and in 2021 in order to recognize the declining volume of Suboxone that will continue declining in 2022. We expect our manufacture and supply costs and expenses to decrease over the next several years due to the decline in Suboxone volumes as the generics in that market continue to take market share, modestly offset by the commercialization of Sympazan launched in December 2018. We may add licensee products to our production line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our inception, we have focused significant resources on our research and development activities. Research and development expenses primarily consist of:</w:t>
      </w:r>
    </w:p>
    <w:p>
      <w:pPr>
        <w:spacing w:after="0" w:line="168" w:lineRule="exact"/>
        <w:rPr>
          <w:sz w:val="20"/>
          <w:szCs w:val="20"/>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employee-related expenses, including compensation, benefits, share-based compensation and travel expense;</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external research and development expenses incurred under arrangements with third parties, such as contract research organizations, investigational sites and consultants;</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acquiring, developing and manufacturing clinical study materials; and</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costs associated with preclinical and clinical activities and regulatory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7" w:name="page38"/>
    <w:bookmarkEnd w:id="37"/>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expect our research and development expenses to continue to be significant over the next several years as we continue to develop existing product candidates such as AQST-109 and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Selling, general and administrative expenses consist primarily of salaries, benefits, share-based compensation, commercialization and marketing costs and other related costs for executive, finance, selling and operational personnel. Other costs include facility and related costs not otherwise included in research and development expenses such as: professional fees for patent-related and other legal expenses, consulting, tax and accounting services; insurance; selling; market research; advisory board and key opinion leaders; depreciation; and general corporate expenses, inclusive of IT systems related costs.</w:t>
      </w:r>
    </w:p>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significant portion of selling, general and administrative expenses relates to the sale and marketing of Sympazan. Sympazan was developed as the precursor and complement to the launch of Libervant, while pending approval for U.S. market access by the FDA, as we believed that there was a very high degree of overlap and correlation between prescribers of Sympazan and the likely prescribers of an approved Libervant. With the recent exclusive license of Sympazan to Assertio and the tentative approval of Libervant from the FDA withholding U.S. market access, we expect to significantly reduce the costs of our commercial organization.</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continue to manage business costs to appropriately reflect the declining state of Suboxone revenue, the out-license of Sympazan and other external factors affecting our business, including the continuing impact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COVID-19 pandemic, as we continue to focus on our core business:</w:t>
      </w:r>
    </w:p>
    <w:p>
      <w:pPr>
        <w:spacing w:after="0" w:line="159" w:lineRule="exact"/>
        <w:rPr>
          <w:sz w:val="20"/>
          <w:szCs w:val="20"/>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Seeking to obtain the approval and subsequent launch of Libervant, subject to approval by the FDA for U.S. market access, which cannot be assured; and</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Continuing the development of AQST-109 and AQST-108 along the 505(b)(2) pathway.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Interest expense consists of interest costs on our 12.5% Notes at a fixed rate of 12.5%, payable quarterly, as well as amortization of loan costs and the debt discount. The 12.5% Notes are discussed in Note 13, 12.5 % Senior Secured Notes and Loans Payable, to our consolidated financial statements. See Liquidity and Capital Resources below for further detail on our 12.5% Notes.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Royalties and Interest Expense related to the Sale of Future Revenue</w:t>
      </w:r>
    </w:p>
    <w:p>
      <w:pPr>
        <w:spacing w:after="0" w:line="16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1"/>
          <w:szCs w:val="11"/>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r>
        <w:rPr>
          <w:rFonts w:ascii="Arial" w:cs="Arial" w:eastAsia="Arial" w:hAnsi="Arial"/>
          <w:sz w:val="14"/>
          <w:szCs w:val="14"/>
          <w:color w:val="auto"/>
          <w:vertAlign w:val="superscript"/>
        </w:rPr>
        <w:t>®</w:t>
      </w:r>
      <w:r>
        <w:rPr>
          <w:rFonts w:ascii="Arial" w:cs="Arial" w:eastAsia="Arial" w:hAnsi="Arial"/>
          <w:sz w:val="11"/>
          <w:szCs w:val="11"/>
          <w:color w:val="auto"/>
        </w:rPr>
        <w:t>. KYNMOBI, an apomorphine film therapy for the treatment of off episodes in Parkinson’s disease patients, received approval from the U.S. FDA on May 21, 2020. In exchange for the sale of these rights, we received an upfront payment of $40,000 and an additional payment of $10,000 through the achievement of the first milestone, and recorded these payments as a liability related to the sale of future revenue that will be amortized using the effective interest method over the life of the Monetization Agreement.. Although we sold all of our rights to receive royalties and milestones, as a result of our ongoing obligations related to the generation of these royalties, we will account for these royalties as revenue. We have received an aggregate amount of $50,000 through September 30, 2022 under the Monetization Agreement.</w:t>
      </w:r>
    </w:p>
    <w:p>
      <w:pPr>
        <w:spacing w:after="0" w:line="137"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Under the Monetization Agreement, additional aggregate contingent payments of up to $75,000 may be due to us upon the achievement of worldwide royalty and other commercial targets within a specified timeframe, which could result in total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8" w:name="page39"/>
    <w:bookmarkEnd w:id="38"/>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potential proceeds of $125,000. Based on the current forecast by Sunovion of estimated KYNMOBI sales as of September 30, 2022, the Company may not receive any of the additional aggregate contingent payments under the Monetization agreement.</w:t>
      </w:r>
    </w:p>
    <w:p>
      <w:pPr>
        <w:spacing w:after="0" w:line="14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Arial" w:cs="Arial" w:eastAsia="Arial" w:hAnsi="Arial"/>
          <w:sz w:val="12"/>
          <w:szCs w:val="12"/>
          <w:i w:val="1"/>
          <w:iCs w:val="1"/>
          <w:color w:val="auto"/>
        </w:rPr>
        <w:t>Transfer and Servicing</w:t>
      </w:r>
      <w:r>
        <w:rPr>
          <w:rFonts w:ascii="Arial" w:cs="Arial" w:eastAsia="Arial" w:hAnsi="Arial"/>
          <w:sz w:val="12"/>
          <w:szCs w:val="12"/>
          <w:color w:val="auto"/>
        </w:rPr>
        <w:t xml:space="preserve"> to determine whether the existing receivable was transferred to Marathon and concluded that the receivable was not transferred. See Note 15 for further detail on the sale of future revenue.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Income and other income (expense), net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and Nine Months Ended September 30, 2022 and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20" w:type="dxa"/>
            <w:vAlign w:val="bottom"/>
          </w:tcPr>
          <w:p>
            <w:pPr>
              <w:spacing w:after="0"/>
              <w:rPr>
                <w:sz w:val="20"/>
                <w:szCs w:val="20"/>
                <w:color w:val="auto"/>
              </w:rPr>
            </w:pPr>
            <w:r>
              <w:rPr>
                <w:rFonts w:ascii="Arial" w:cs="Arial" w:eastAsia="Arial" w:hAnsi="Arial"/>
                <w:sz w:val="12"/>
                <w:szCs w:val="12"/>
                <w:i w:val="1"/>
                <w:iCs w:val="1"/>
                <w:color w:val="auto"/>
              </w:rPr>
              <w:t>Revenues</w:t>
            </w: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306"/>
        </w:trPr>
        <w:tc>
          <w:tcPr>
            <w:tcW w:w="3620" w:type="dxa"/>
            <w:vAlign w:val="bottom"/>
          </w:tcPr>
          <w:p>
            <w:pPr>
              <w:spacing w:after="0"/>
              <w:rPr>
                <w:sz w:val="20"/>
                <w:szCs w:val="20"/>
                <w:color w:val="auto"/>
              </w:rPr>
            </w:pPr>
            <w:r>
              <w:rPr>
                <w:rFonts w:ascii="Arial" w:cs="Arial" w:eastAsia="Arial" w:hAnsi="Arial"/>
                <w:sz w:val="12"/>
                <w:szCs w:val="12"/>
                <w:color w:val="auto"/>
                <w:w w:val="94"/>
              </w:rPr>
              <w:t>The following table sets forth our revenue data for the periods indicated.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4"/>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90"/>
              </w:rPr>
              <w:t>Three Months Ended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6"/>
          </w:tcPr>
          <w:p>
            <w:pPr>
              <w:ind w:left="20"/>
              <w:spacing w:after="0"/>
              <w:rPr>
                <w:sz w:val="20"/>
                <w:szCs w:val="20"/>
                <w:color w:val="auto"/>
              </w:rPr>
            </w:pPr>
            <w:r>
              <w:rPr>
                <w:rFonts w:ascii="Arial" w:cs="Arial" w:eastAsia="Arial" w:hAnsi="Arial"/>
                <w:sz w:val="12"/>
                <w:szCs w:val="12"/>
                <w:b w:val="1"/>
                <w:bCs w:val="1"/>
                <w:color w:val="auto"/>
                <w:w w:val="98"/>
              </w:rPr>
              <w:t>Nine Months Ended September</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57"/>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7"/>
              </w:rPr>
              <w:t>September 30,</w:t>
            </w:r>
          </w:p>
        </w:tc>
        <w:tc>
          <w:tcPr>
            <w:tcW w:w="240" w:type="dxa"/>
            <w:vAlign w:val="bottom"/>
          </w:tcPr>
          <w:p>
            <w:pPr>
              <w:spacing w:after="0"/>
              <w:rPr>
                <w:sz w:val="13"/>
                <w:szCs w:val="13"/>
                <w:color w:val="auto"/>
              </w:rPr>
            </w:pPr>
          </w:p>
        </w:tc>
        <w:tc>
          <w:tcPr>
            <w:tcW w:w="1000" w:type="dxa"/>
            <w:vAlign w:val="bottom"/>
            <w:gridSpan w:val="3"/>
          </w:tcPr>
          <w:p>
            <w:pPr>
              <w:ind w:left="500"/>
              <w:spacing w:after="0"/>
              <w:rPr>
                <w:sz w:val="20"/>
                <w:szCs w:val="20"/>
                <w:color w:val="auto"/>
              </w:rPr>
            </w:pPr>
            <w:r>
              <w:rPr>
                <w:rFonts w:ascii="Arial" w:cs="Arial" w:eastAsia="Arial" w:hAnsi="Arial"/>
                <w:sz w:val="12"/>
                <w:szCs w:val="12"/>
                <w:b w:val="1"/>
                <w:bCs w:val="1"/>
                <w:color w:val="auto"/>
              </w:rPr>
              <w:t>Change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3"/>
          </w:tcPr>
          <w:p>
            <w:pPr>
              <w:jc w:val="right"/>
              <w:ind w:right="92"/>
              <w:spacing w:after="0"/>
              <w:rPr>
                <w:sz w:val="20"/>
                <w:szCs w:val="20"/>
                <w:color w:val="auto"/>
              </w:rPr>
            </w:pPr>
            <w:r>
              <w:rPr>
                <w:rFonts w:ascii="Arial" w:cs="Arial" w:eastAsia="Arial" w:hAnsi="Arial"/>
                <w:sz w:val="12"/>
                <w:szCs w:val="12"/>
                <w:b w:val="1"/>
                <w:bCs w:val="1"/>
                <w:color w:val="auto"/>
                <w:w w:val="83"/>
              </w:rPr>
              <w:t>30,</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ind w:left="540"/>
              <w:spacing w:after="0"/>
              <w:rPr>
                <w:sz w:val="20"/>
                <w:szCs w:val="20"/>
                <w:color w:val="auto"/>
              </w:rPr>
            </w:pPr>
            <w:r>
              <w:rPr>
                <w:rFonts w:ascii="Arial" w:cs="Arial" w:eastAsia="Arial" w:hAnsi="Arial"/>
                <w:sz w:val="12"/>
                <w:szCs w:val="12"/>
                <w:b w:val="1"/>
                <w:bCs w:val="1"/>
                <w:color w:val="auto"/>
              </w:rPr>
              <w:t>Change</w:t>
            </w:r>
          </w:p>
        </w:tc>
        <w:tc>
          <w:tcPr>
            <w:tcW w:w="660" w:type="dxa"/>
            <w:vAlign w:val="bottom"/>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 except %)</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w:t>
            </w:r>
          </w:p>
        </w:tc>
      </w:tr>
      <w:tr>
        <w:trPr>
          <w:trHeight w:val="142"/>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Manufacture and supply revenue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27,456</w:t>
            </w:r>
          </w:p>
        </w:tc>
        <w:tc>
          <w:tcPr>
            <w:tcW w:w="30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27,623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3620" w:type="dxa"/>
            <w:vAlign w:val="bottom"/>
          </w:tcPr>
          <w:p>
            <w:pPr>
              <w:spacing w:after="0"/>
              <w:rPr>
                <w:sz w:val="20"/>
                <w:szCs w:val="20"/>
                <w:color w:val="auto"/>
              </w:rPr>
            </w:pPr>
            <w:r>
              <w:rPr>
                <w:rFonts w:ascii="Arial" w:cs="Arial" w:eastAsia="Arial" w:hAnsi="Arial"/>
                <w:sz w:val="12"/>
                <w:szCs w:val="12"/>
                <w:color w:val="auto"/>
              </w:rPr>
              <w:t>License and royalty revenue</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(3,566)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53"/>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Co-development and research fees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Proprietary product sales, net</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15 %</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1,355</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24 %</w:t>
            </w:r>
          </w:p>
        </w:tc>
      </w:tr>
      <w:tr>
        <w:trPr>
          <w:trHeight w:val="158"/>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11,463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13,287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36,998</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39,754</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(2,756)</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the three months ended September 30, 2022, total revenues decreased 14% or $1,824 compared to same period in the prior year. The decrease was primarily due to lower revenue from co-development and research fees, as well as manufacture and supply, partially offset by an increase in proprietary product sales as well as license and royalty revenue. For the nine months ended September 30, 2022, total revenues decreased 7% or $2,756 compared to same period in the prior year. The decrease was primarily due to lower license and royalty revenue as well as co-development and research fees, partially offset by an increase in proprietary product sales revenue.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Manufacture and supply revenue decreased 19% or $2,036 for the three months ended September 30, 2022 compared to the same period in the prior year due to a decline in Suboxone manufacturing volume. Manufacture and supply revenue remained flat for the nine months ended September 30, 2022 compared to the same period in the prior year.</w:t>
      </w:r>
    </w:p>
    <w:p>
      <w:pPr>
        <w:spacing w:after="0" w:line="13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License and royalty revenue increased 15% or $48 for the three months ended September 30, 2022 compared to the same period in the prior year. This increase was primarily due to milestone revenue earned from Hypera. License and royalty revenue decreased 71% or $3,566 for the nine months ended September 30, 2022 compared to the same period in the prior year. The decrease was primarily due to the remaining deferred revenue of $2,098 from the terminated license and supply agreement with Fortovia Therapeutics Inc., as well as milestone revenue earned from KemPharm, Inc. of $2,000 that were recognized in 2021 and did not reoccur in 2022.</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Co-development and research fees decreased 24% or $128 for the three months ended September 30, 2022 compared to the same period in the prior year. Co-development and research fees decreased 27% or $378 for the nine months ended September 30, 2022 compared to the same period in the prior year. The decrease was driven by the timing of the achievement of research and development performance obligations and are expected to fluctuate from one reporting period to the next.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9" w:name="page40"/>
    <w:bookmarkEnd w:id="39"/>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Proprietary product sales, net increased 15% or $292 for the three months ended September 30, 2022 compared to the same period in the prior year. Proprietary product sales, net increased 24% or 1,355 for the nine months ended September 30, 2022 compared to the same period in the prior year. The increase was due to a steady rise in acceptance with the medical and patient communities over time which led to increased prescriptions for Sympazan.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00" w:type="dxa"/>
            <w:vAlign w:val="bottom"/>
          </w:tcPr>
          <w:p>
            <w:pPr>
              <w:spacing w:after="0"/>
              <w:rPr>
                <w:sz w:val="20"/>
                <w:szCs w:val="20"/>
                <w:color w:val="auto"/>
              </w:rPr>
            </w:pPr>
            <w:r>
              <w:rPr>
                <w:rFonts w:ascii="Arial" w:cs="Arial" w:eastAsia="Arial" w:hAnsi="Arial"/>
                <w:sz w:val="12"/>
                <w:szCs w:val="12"/>
                <w:i w:val="1"/>
                <w:iCs w:val="1"/>
                <w:color w:val="auto"/>
              </w:rPr>
              <w:t>Expenses and Other: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8"/>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2"/>
              </w:rPr>
              <w:t>Three Months Ended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0"/>
              </w:rPr>
              <w:t>Nine Months Ended September</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0"/>
              </w:rPr>
              <w:t>September 30,</w:t>
            </w:r>
          </w:p>
        </w:tc>
        <w:tc>
          <w:tcPr>
            <w:tcW w:w="240" w:type="dxa"/>
            <w:vAlign w:val="bottom"/>
          </w:tcPr>
          <w:p>
            <w:pPr>
              <w:spacing w:after="0"/>
              <w:rPr>
                <w:sz w:val="14"/>
                <w:szCs w:val="14"/>
                <w:color w:val="auto"/>
              </w:rPr>
            </w:pPr>
          </w:p>
        </w:tc>
        <w:tc>
          <w:tcPr>
            <w:tcW w:w="1000" w:type="dxa"/>
            <w:vAlign w:val="bottom"/>
            <w:gridSpan w:val="3"/>
          </w:tcPr>
          <w:p>
            <w:pPr>
              <w:ind w:left="500"/>
              <w:spacing w:after="0"/>
              <w:rPr>
                <w:sz w:val="20"/>
                <w:szCs w:val="20"/>
                <w:color w:val="auto"/>
              </w:rPr>
            </w:pPr>
            <w:r>
              <w:rPr>
                <w:rFonts w:ascii="Arial" w:cs="Arial" w:eastAsia="Arial" w:hAnsi="Arial"/>
                <w:sz w:val="12"/>
                <w:szCs w:val="12"/>
                <w:b w:val="1"/>
                <w:bCs w:val="1"/>
                <w:color w:val="auto"/>
              </w:rPr>
              <w:t>Change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83"/>
              </w:rPr>
              <w:t>30,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Change</w:t>
            </w:r>
          </w:p>
        </w:tc>
        <w:tc>
          <w:tcPr>
            <w:tcW w:w="66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 except %)</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w:t>
            </w:r>
          </w:p>
        </w:tc>
      </w:tr>
      <w:tr>
        <w:trPr>
          <w:trHeight w:val="142"/>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Manufacture and supply</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5 %  $</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14,081</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21 %</w:t>
            </w:r>
          </w:p>
        </w:tc>
      </w:tr>
      <w:tr>
        <w:trPr>
          <w:trHeight w:val="153"/>
        </w:trPr>
        <w:tc>
          <w:tcPr>
            <w:tcW w:w="370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(1,494)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13,203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12,647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4 %</w:t>
            </w:r>
          </w:p>
        </w:tc>
      </w:tr>
      <w:tr>
        <w:trPr>
          <w:trHeight w:val="153"/>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12,459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41,067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38,494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r>
        <w:trPr>
          <w:trHeight w:val="153"/>
        </w:trPr>
        <w:tc>
          <w:tcPr>
            <w:tcW w:w="3700" w:type="dxa"/>
            <w:vAlign w:val="bottom"/>
          </w:tcPr>
          <w:p>
            <w:pPr>
              <w:spacing w:after="0"/>
              <w:rPr>
                <w:sz w:val="20"/>
                <w:szCs w:val="20"/>
                <w:color w:val="auto"/>
              </w:rPr>
            </w:pPr>
            <w:r>
              <w:rPr>
                <w:rFonts w:ascii="Arial" w:cs="Arial" w:eastAsia="Arial" w:hAnsi="Arial"/>
                <w:sz w:val="12"/>
                <w:szCs w:val="12"/>
                <w:color w:val="auto"/>
              </w:rPr>
              <w:t>Interest expense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2,787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4,902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8,305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related to the sale of future revenue, net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r>
      <w:tr>
        <w:trPr>
          <w:trHeight w:val="153"/>
        </w:trPr>
        <w:tc>
          <w:tcPr>
            <w:tcW w:w="3700" w:type="dxa"/>
            <w:vAlign w:val="bottom"/>
          </w:tcPr>
          <w:p>
            <w:pPr>
              <w:spacing w:after="0"/>
              <w:rPr>
                <w:sz w:val="20"/>
                <w:szCs w:val="20"/>
                <w:color w:val="auto"/>
              </w:rPr>
            </w:pPr>
            <w:r>
              <w:rPr>
                <w:rFonts w:ascii="Arial" w:cs="Arial" w:eastAsia="Arial" w:hAnsi="Arial"/>
                <w:sz w:val="12"/>
                <w:szCs w:val="12"/>
                <w:color w:val="auto"/>
              </w:rPr>
              <w:t>Interest and other (income) expense, net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88 %</w:t>
            </w:r>
          </w:p>
        </w:tc>
      </w:tr>
    </w:tbl>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Manufacture and supply costs and expenses increased 5% or $225 for the three months ended September 30, 2022 compared to the same period in the prior year. Manufacture and supply costs and expenses increased 21% or $2,458 for the nine months ended September 30, 2022 compared to the same period in the prior year. The increase was due to higher costs related to raw material and production.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expenses decreased 32% or $1,494 for the three months ended September 30, 2022 compared to the same period in the prior year. Research and development expenses increased 4% or $556 for the nine months ended September 30, 2022 compared to the same period in the prior year. Research and development expenses are driven primarily by the timing of clinical trial and other product development activities associated with our pipeline.</w:t>
      </w:r>
    </w:p>
    <w:p>
      <w:pPr>
        <w:spacing w:after="0" w:line="14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Selling, general and administrative expenses increased 3% or $330 for the three months ended September 30, 2022 as compared to the same period in the prior year. Selling, general and administrative expenses increased 7% or $2,573 for the nine months ended September 30, 2022 as compared to the same period in the prior year. The increase was related to severance cost and litigation expense that arose through the course of business.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Interest expense decreased 41% or $1,138 for the three months ended September 30, 2022 compared to the same period in the prior year. Interest expense decreased 41% or $3,403 for the nine months ended September 30, 2022 compared to the same period in the prior year. The decrease was driven by a loss on the extinguishment of debt that was recognized in connection with the Fourth Supplemental Indenture to the 12.5 % Senior Secured Notes during the fourth quarter of 2021, which resulted in a lower net carrying value of debt in 2022.</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Interest expense related to the sale of future revenue, net was $2,039 and 5,837 for the three and nine months ended September 30, 2022. This amount is due to the accounting associated with the sale of future revenue related to KYNMOBI® sold to Marathon on November 3, 2020 and does not represent a monetary obligation or cash outflow at any time during the life of the transaction. Based on the current forecast by Sunovion of estimated KYNMOBI sales as of September 30, 2022, the Company may not receive any of the additional aggregate contingent payments under the Monetization agreement. This current forecast resulted in a decrease to the interest expense related to the sale of future revenue. See Note 15 for details.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and other expense, net decreased $38 and increased $254 for the three and nine months ended September 30, 2022 compared to the same period in the prior year. This was due to the fair value adjustment of the put option related to the 12.5% Notes. See Note 13 for details.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pursuant to the Fifth Supplemental Indenture, the holders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0" w:name="page41"/>
    <w:bookmarkEnd w:id="40"/>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of the 12.5% Notes extended to March 31, 2023 from June 30, 2022 our ability to access, at our option, up to $30,000 of 12.5% Notes re-openers under the Indenture, subject to the Company obtaining FDA approval of Libervant for U.S. market access, and that the holders of 12.5% Notes have the right, but not the obligation, to purchase the $30,000 12.5% Notes re-openers.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had $18,649 in cash and cash equivalents as of September 30, 2022. However, the Company’s ability to fund the execution of our business objectives cannot be assured.</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September 30, 2022 under the Monetization Agreement.</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September 30, 2022, the Company may not receive any of the additional aggregate contingent payments under the Monetization agreement.</w:t>
      </w:r>
    </w:p>
    <w:p>
      <w:pPr>
        <w:spacing w:after="0" w:line="14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With the upfront proceeds of the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October 7, 2021, the Company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 will only be able to access the re-openers upon FDA approval of Libervant for U.S. market access, and that the holders of 12.5% Notes have the right, but not the obligation, to purchase the re-openers. If and to the extent that we access these re-openers, we will grant warrants to the holders of the 12.5% Notes to purchase up to 714,000 shares of the Company's Common Stock, with the strike price calculated based on the 30-day volume weighted average closing price of our Common Stock at the warrant grant date.</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2019, we established an “At-The-Market” (ATM) facility and currently have a prospectus supplement registering the offer and sale of up to $35,000 of shares of Common Stock pursuant under the ATM facility. Since inception to September 30, 2022, we sold 9,387,769 shares which generated net cash proceeds of approximately $38,850, net of commissions and other transaction costs of $2,001. For the nine months ended September 30, 2022, we sold 1,906,350 shares which provided net proceeds of approximately $3,017, net of commissions and other transaction costs of $237. This ATM facility has approximately $34,358 available at September 30, 2022.</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For the nine months ended September 30, 2022, the Company sold 1,611,181 shares including commitment shares of Common Stock, which provided proceeds of approximately $1,987 in connection with the Lincoln Park Purchase Agreement. On April 13, 2022, the Company filed a prospectus supplement in connection with this offering.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1" w:name="page42"/>
    <w:bookmarkEnd w:id="41"/>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and no Common Stock warrants issued pursuant to the Securities Purchase Agreements were exercised during the nine-months ended September 30,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60" w:type="dxa"/>
            <w:vAlign w:val="bottom"/>
          </w:tcPr>
          <w:p>
            <w:pPr>
              <w:spacing w:after="0"/>
              <w:rPr>
                <w:sz w:val="20"/>
                <w:szCs w:val="20"/>
                <w:color w:val="auto"/>
              </w:rPr>
            </w:pPr>
            <w:r>
              <w:rPr>
                <w:rFonts w:ascii="Arial" w:cs="Arial" w:eastAsia="Arial" w:hAnsi="Arial"/>
                <w:sz w:val="12"/>
                <w:szCs w:val="12"/>
                <w:b w:val="1"/>
                <w:bCs w:val="1"/>
                <w:i w:val="1"/>
                <w:iCs w:val="1"/>
                <w:color w:val="auto"/>
              </w:rPr>
              <w:t>Cash Flows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06"/>
        </w:trPr>
        <w:tc>
          <w:tcPr>
            <w:tcW w:w="8760" w:type="dxa"/>
            <w:vAlign w:val="bottom"/>
          </w:tcPr>
          <w:p>
            <w:pPr>
              <w:spacing w:after="0"/>
              <w:rPr>
                <w:sz w:val="20"/>
                <w:szCs w:val="20"/>
                <w:color w:val="auto"/>
              </w:rPr>
            </w:pPr>
            <w:r>
              <w:rPr>
                <w:rFonts w:ascii="Arial" w:cs="Arial" w:eastAsia="Arial" w:hAnsi="Arial"/>
                <w:sz w:val="12"/>
                <w:szCs w:val="12"/>
                <w:b w:val="1"/>
                <w:bCs w:val="1"/>
                <w:i w:val="1"/>
                <w:iCs w:val="1"/>
                <w:color w:val="auto"/>
              </w:rPr>
              <w:t>Nine Months Ended September 30, 2022 and 2021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87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r>
      <w:tr>
        <w:trPr>
          <w:trHeight w:val="142"/>
        </w:trPr>
        <w:tc>
          <w:tcPr>
            <w:tcW w:w="87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for) operating activities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(24,918)</w:t>
            </w:r>
          </w:p>
        </w:tc>
      </w:tr>
      <w:tr>
        <w:trPr>
          <w:trHeight w:val="153"/>
        </w:trPr>
        <w:tc>
          <w:tcPr>
            <w:tcW w:w="8760" w:type="dxa"/>
            <w:vAlign w:val="bottom"/>
          </w:tcPr>
          <w:p>
            <w:pPr>
              <w:spacing w:after="0"/>
              <w:rPr>
                <w:sz w:val="20"/>
                <w:szCs w:val="20"/>
                <w:color w:val="auto"/>
              </w:rPr>
            </w:pPr>
            <w:r>
              <w:rPr>
                <w:rFonts w:ascii="Arial" w:cs="Arial" w:eastAsia="Arial" w:hAnsi="Arial"/>
                <w:sz w:val="12"/>
                <w:szCs w:val="12"/>
                <w:color w:val="auto"/>
              </w:rPr>
              <w:t>Net cash (used for) investing activities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(380)</w:t>
            </w:r>
          </w:p>
        </w:tc>
      </w:tr>
      <w:tr>
        <w:trPr>
          <w:trHeight w:val="153"/>
        </w:trPr>
        <w:tc>
          <w:tcPr>
            <w:tcW w:w="87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11,358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24,655</w:t>
            </w:r>
          </w:p>
        </w:tc>
      </w:tr>
      <w:tr>
        <w:trPr>
          <w:trHeight w:val="142"/>
        </w:trPr>
        <w:tc>
          <w:tcPr>
            <w:tcW w:w="8760" w:type="dxa"/>
            <w:vAlign w:val="bottom"/>
          </w:tcPr>
          <w:p>
            <w:pPr>
              <w:spacing w:after="0"/>
              <w:rPr>
                <w:sz w:val="20"/>
                <w:szCs w:val="20"/>
                <w:color w:val="auto"/>
              </w:rPr>
            </w:pPr>
            <w:r>
              <w:rPr>
                <w:rFonts w:ascii="Arial" w:cs="Arial" w:eastAsia="Arial" w:hAnsi="Arial"/>
                <w:sz w:val="12"/>
                <w:szCs w:val="12"/>
                <w:color w:val="auto"/>
              </w:rPr>
              <w:t>Net decrease in cash and cash equivalents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(9,375)</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(643)</w:t>
            </w:r>
          </w:p>
        </w:tc>
      </w:tr>
      <w:tr>
        <w:trPr>
          <w:trHeight w:val="20"/>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Cash (Used for) Operating Activities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Net cash used for operating activities for the nine months ended September 30, 2022 decreased by $6,683 compared to the same period in the prior year. The decrease was related to changes in operating assets and liabilities of $16,764, partially offset by a higher net loss of $464 and lower non-cash operating expenses of $9,617. The change in operating assets and liabilities was primarily due to lower trade and other receivables and higher accounts payable due to timing, as well as increased deferred revenue related to License and Supply Agreements that we entered into in 2022. The lower non-cash operating expenses were primarily due to less interest expense related to sale of future revenue ($4,774), less amortization of debt issuance costs ($3,447), and less share-based compensation expense ($1,461).</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Cash (Used for) Investing Activities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Net cash used for investing activities for the nine months ended September 30, 2022 increased by $2,118 compared to the same period in the prior year. The use of cash was related to capital expenditures and additions to intangible assets.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Cash Provided by Financing Activities</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Net cash provided for financing activities for the nine months ended September 30, 2022 decreased by $13,297 compared to the same period in the prior year. The decrease was primarily due to less share purchase proceeds under the ATM facility and premium paid to retire debt in 2022, partially offset by proceeds from issuance of common stocks and warrants under private equity offerings in 2022. See Note 1 for detail.</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In addition, there is up to $30,000 available under the existing debt facility upon the full approval of Libervant by the FDA for U.S. market access. Due to to the FDA decision in August 2022, discussed above under "-Overview - Proprietary CNS Product Portfolio - Libervant," however, we must overcome the seven year orphan drug exclusivity granted by the FDA for the approved nasal spray product of a competitor in the U.S. in order for Libervant to be granted U.S. market access.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w:t>
      </w:r>
    </w:p>
    <w:p>
      <w:pPr>
        <w:spacing w:after="0" w:line="142" w:lineRule="exact"/>
        <w:rPr>
          <w:sz w:val="20"/>
          <w:szCs w:val="20"/>
          <w:color w:val="auto"/>
        </w:rPr>
      </w:pPr>
    </w:p>
    <w:p>
      <w:pPr>
        <w:ind w:left="640" w:hanging="216"/>
        <w:spacing w:after="0"/>
        <w:tabs>
          <w:tab w:leader="none" w:pos="6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effects of the COVID-19 pandemic on our operations, operations of our key suppliers and third-party clinical and other service providers, our colleagues and contractors and debt equity and other capital markets;</w:t>
      </w:r>
    </w:p>
    <w:p>
      <w:pPr>
        <w:spacing w:after="0" w:line="200" w:lineRule="exact"/>
        <w:rPr>
          <w:rFonts w:ascii="Arial" w:cs="Arial" w:eastAsia="Arial" w:hAnsi="Arial"/>
          <w:sz w:val="11"/>
          <w:szCs w:val="11"/>
          <w:color w:val="auto"/>
        </w:rPr>
      </w:pPr>
    </w:p>
    <w:p>
      <w:pPr>
        <w:spacing w:after="0" w:line="348"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2" w:name="page43"/>
    <w:bookmarkEnd w:id="42"/>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ind w:left="640" w:right="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ability of our customers to pay, in a timely manner, for presently contracted and future anticipated orders for our manufactured goods, Suboxone, Sympazan and Exservan, including effects of generics and other competitive pressures as currently envisioned;</w:t>
      </w:r>
    </w:p>
    <w:p>
      <w:pPr>
        <w:spacing w:after="0" w:line="132"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access to debt or equity markets if, and at the time, needed for any necessary future funding;</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continuing review and appropriate adjustment of our cost structure consistent with our anticipated revenues and funding;</w:t>
      </w:r>
    </w:p>
    <w:p>
      <w:pPr>
        <w:spacing w:after="0" w:line="168"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growth and market penetration of Sympazan within expected commercialization cost levels for this product, including anticipated patient and physician acceptance and our licensee's ability to obtain adequate price and payment support from government agencies and other private medical insurers;</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effective commercialization within anticipated cost levels and expected ramp-up timeframes of our product candidate Libervant, if approved for U.S. market access by the FDA;</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infrastructure and administrative costs at expected levels to support operations as an FDA and highly regulated public company;</w:t>
      </w:r>
    </w:p>
    <w:p>
      <w:pPr>
        <w:spacing w:after="0" w:line="168"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compliance with all covenants under our 12.5% Notes, including our ability to comply with our debt service obligations as required thereunder;</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absence of significant unforeseen cash requirements;</w:t>
      </w:r>
    </w:p>
    <w:p>
      <w:pPr>
        <w:spacing w:after="0" w:line="168" w:lineRule="exact"/>
        <w:rPr>
          <w:rFonts w:ascii="Arial" w:cs="Arial" w:eastAsia="Arial" w:hAnsi="Arial"/>
          <w:sz w:val="12"/>
          <w:szCs w:val="12"/>
          <w:color w:val="auto"/>
        </w:rPr>
      </w:pPr>
    </w:p>
    <w:p>
      <w:pPr>
        <w:ind w:left="640" w:hanging="216"/>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access funding through the Company's ATM facility and under the Lincoln Park Purchase Agreement.</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expect to continue to manage business costs to appropriately reflect the anticipated general decline in Suboxone revenue, the proceeds from the KYNMOBI Monetization Agreement, and other external resources or factors affecting our business including, if available, any future potential issuances of additional 12.5% Notes under the Indenture,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activities in support AQST-109, AQST-108 and our other pipeline products. Until profitability is achieved, if at all, additional capital and/or other financing or funding will be required, which could be material, to further advance the development and commercialization of Libervant, AQST-109 and AQST-108, if approved by the FDA for U.S. market access, and to meet our other cash requirements, including debt service, specifically our 12.5% Notes. We plan to conservatively manage our pre-launch spending as to both timing and level relating to Libervant in light of the tentative approval of Libervant by the FDA. In this regard and in light of our out-license of Sympazan, we expect to significantly reduce our cost on commercialization in 2022 compared to 2021. Even as such, we expect to incur losses and negative cash flows for the foreseeable future and, therefore, we expect to be dependent upon external financing and funding to achieve our operating plan.</w:t>
      </w:r>
    </w:p>
    <w:p>
      <w:pPr>
        <w:spacing w:after="0" w:line="13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sufficiency of our short-term and longer-term liquidity is directly impacted by our level of operating revenues and our ability to achieve our operating plan for revenues, regulatory approval in the time period planned for our late-stage proprietary products and our ability to monetize other royalty streams or other licensed rights within planned timeframes. Although we may also be entitled to further potential milestones, royalty and other payments under our Indivior Supplemental Agreement, which are suspended and may only be reinstated if Indivior successfully adjudicates or settles the related patent infringement litigation, and under the Monetization Agreement, there can be no assurance when, or if, any such payments may be realized.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3" w:name="page44"/>
    <w:bookmarkEnd w:id="43"/>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12.5% Notes due through the debt maturity date, which is further discussed in Note 13. A substantial portion of our current and past revenues has been dependent upon our licensing, manufacturing and sales with one customer, Indivior, which is expected to continue while we commercialize our own proprietary products and it could take significantly longer than planned to achieve anticipated levels of cash flows to help fund our operations and cash needs from sales of our proprietary products.</w:t>
      </w:r>
    </w:p>
    <w:p>
      <w:pPr>
        <w:spacing w:after="0" w:line="14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of our late-stage proprietary product, our existing level of debt which is secured by substantially all of our assets, restriction under the Indenture, and general financial market conditions, and there can be no assurance that we will continue to be successful in raising capital or that any such needed financing will be available, available on favorable or acceptable terms or at the times, or in the amounts needed,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14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auto"/>
        </w:rPr>
        <w:t>See also the risk factors below concerning the significant risks and uncertainties concerning our business, operations, financial results and capital resources associated with the impact of the global coronavirus pandemic.</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spacing w:after="0" w:line="12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i w:val="1"/>
          <w:iCs w:val="1"/>
          <w:color w:val="auto"/>
        </w:rPr>
        <w:t>Quantitative and Qualitative Disclosures about Market Risk</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As a “smaller reporting company” as defined by Item 10 of Regulation S-K promulgated by the SEC under the U.S. Securities Act of 1933, as amended, we are not required to provide the information required by this Item 3.</w:t>
      </w:r>
    </w:p>
    <w:p>
      <w:pPr>
        <w:spacing w:after="0" w:line="33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i w:val="1"/>
          <w:iCs w:val="1"/>
          <w:color w:val="auto"/>
        </w:rPr>
        <w:t>Controls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Evaluation of our Disclosure Controls and Procedures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of September 30, 2022,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2022, our disclosure controls and procedures were effective at the reasonable assurance level.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4" w:name="page45"/>
    <w:bookmarkEnd w:id="44"/>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Internal Control Over Financial Reporting</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on Legal Proceedings, see Part I Item I. Financial Statements (Unaudited), Note 19. Contingencies.</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You should carefully review and consider the information regarding certain risks and uncertainties facing the Company that could have a material adverse effect on the Company’s business prospects, financial condition, results of operations, liquidity and available capital resources set forth in Part I, Item 1A of the Company’s 2021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substantial additional capital to fund our operations, which may not be available on acceptable terms, if at all.</w:t>
      </w:r>
    </w:p>
    <w:p>
      <w:pPr>
        <w:spacing w:after="0" w:line="159"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September 30, 2022, we had $18.6 million of cash and cash equivalents.</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We have received an aggregate amount of $50.0 million through December 31, 2021 under the Monetization Agreement.</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of estimated KYNMOBI sales as of September 30, 2022, the Company may not receive any of the additional aggregate contingent payments under the Monetization agreement.</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With the upfront proceeds of the monetization, we repaid $22.5 million of the Senior Secured Notes due 2025 (the "12.5% Notes"), and issued $4.0 million of new 12.5% Notes in lieu of paying a prepayment premium on the early repayment of the 12.5% Notes, reducing the aggregate principal balance of 12.5% Notes outstanding to $51.5 million, and such aggregate principal amount remains outstanding as of September 30, 2022. In addition, the holders of the 12.5% Notes agreed to extend to March 31, 2023 from June 30, 2022, our ability to access, at our option, subject to certain conditions, an additional $30.0 million of 12.5% Notes re-openers under the Indenture. If and to the extent that we access these re-openers, we will grant warrants to purchase up to 714,000 shares of Common Stock, with the strike price calculated based on the 30-day volume weighted average closing price of our Common Stock at the warrant grant date. In addition, as of the closing of this monetization transaction, we issued to the holders of the 12.5% Notes warrants to purchase 143,000 shares of our Common Stock.</w:t>
      </w:r>
    </w:p>
    <w:p>
      <w:pPr>
        <w:spacing w:after="0" w:line="131" w:lineRule="exact"/>
        <w:rPr>
          <w:sz w:val="20"/>
          <w:szCs w:val="20"/>
          <w:color w:val="auto"/>
        </w:rPr>
      </w:pPr>
    </w:p>
    <w:p>
      <w:pPr>
        <w:jc w:val="both"/>
        <w:ind w:right="20"/>
        <w:spacing w:after="0" w:line="306" w:lineRule="auto"/>
        <w:rPr>
          <w:sz w:val="20"/>
          <w:szCs w:val="20"/>
          <w:color w:val="auto"/>
        </w:rPr>
      </w:pPr>
      <w:r>
        <w:rPr>
          <w:rFonts w:ascii="Arial" w:cs="Arial" w:eastAsia="Arial" w:hAnsi="Arial"/>
          <w:sz w:val="11"/>
          <w:szCs w:val="11"/>
          <w:color w:val="auto"/>
        </w:rPr>
        <w:t>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Notes.</w:t>
      </w:r>
    </w:p>
    <w:p>
      <w:pPr>
        <w:spacing w:after="0" w:line="11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On May 13, 2022, pursuant to the Fifth Supplemental Indenture, the holders of the 12.5% Notes further extended to March 31, 2023 from June 30, 2022, our ability to access, at our option, $30.0 million of 12.5% Notes re-openers under the Indenture. The Fifth Supplemental Indenture also provided that the Company's access to re-openers is subject to the full approval of Libervant by the FDA for sale in the United States, which full approval includes U.S. market access for Libervant. In addition, the Fifth Supplemental Indenture provided that the holders of 12.5% Notes have the right, but not the obligation, to purchase the re-openers.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5" w:name="page46"/>
    <w:bookmarkEnd w:id="45"/>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354"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may not be able to raise additional capital or secure other funding on terms acceptable to us, or at all, and any failure to raise additional capital or other funding as and when needed for our cash requirements, including payments on our 12.5% Notes, would have a negative impact on our business, financial condition and prospects and on our ability to execute and achieve our business plan.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6" w:name="page47"/>
    <w:bookmarkEnd w:id="46"/>
    <w:p>
      <w:pPr>
        <w:ind w:left="8"/>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397"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Exhibits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exhibits listed below are filed or furnished as part of this report.</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Number</w:t>
            </w:r>
          </w:p>
        </w:tc>
        <w:tc>
          <w:tcPr>
            <w:tcW w:w="1002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22"/>
        </w:trPr>
        <w:tc>
          <w:tcPr>
            <w:tcW w:w="116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9"/>
                <w:szCs w:val="9"/>
                <w:color w:val="0000FF"/>
              </w:rPr>
              <w:t>10.</w:t>
            </w:r>
            <w:r>
              <w:rPr>
                <w:rFonts w:ascii="Arial" w:cs="Arial" w:eastAsia="Arial" w:hAnsi="Arial"/>
                <w:sz w:val="9"/>
                <w:szCs w:val="9"/>
                <w:u w:val="single" w:color="auto"/>
                <w:color w:val="0000FF"/>
              </w:rPr>
              <w:t>1</w:t>
            </w:r>
            <w:r>
              <w:rPr>
                <w:rFonts w:ascii="Arial" w:cs="Arial" w:eastAsia="Arial" w:hAnsi="Arial"/>
                <w:sz w:val="13"/>
                <w:szCs w:val="13"/>
                <w:color w:val="000000"/>
                <w:vertAlign w:val="superscript"/>
              </w:rPr>
              <w:t>+</w:t>
            </w:r>
          </w:p>
        </w:tc>
        <w:tc>
          <w:tcPr>
            <w:tcW w:w="100" w:type="dxa"/>
            <w:vAlign w:val="bottom"/>
            <w:tcBorders>
              <w:top w:val="single" w:sz="8" w:color="CCEEFF"/>
            </w:tcBorders>
            <w:shd w:val="clear" w:color="auto" w:fill="CCEEFF"/>
          </w:tcPr>
          <w:p>
            <w:pPr>
              <w:spacing w:after="0"/>
              <w:rPr>
                <w:sz w:val="10"/>
                <w:szCs w:val="10"/>
                <w:color w:val="auto"/>
              </w:rPr>
            </w:pPr>
          </w:p>
        </w:tc>
        <w:tc>
          <w:tcPr>
            <w:tcW w:w="10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License and Supply Agreement, dated as of September 26, 2022, by and between Aquestive Therapeutics, Inc. and Atnahs Pharma UK Limited (filed herewith).</w:t>
            </w:r>
          </w:p>
        </w:tc>
      </w:tr>
      <w:tr>
        <w:trPr>
          <w:trHeight w:val="126"/>
        </w:trPr>
        <w:tc>
          <w:tcPr>
            <w:tcW w:w="220" w:type="dxa"/>
            <w:vAlign w:val="bottom"/>
            <w:tcBorders>
              <w:top w:val="single" w:sz="8" w:color="0000FF"/>
              <w:bottom w:val="single" w:sz="8" w:color="0000FF"/>
            </w:tcBorders>
          </w:tcPr>
          <w:p>
            <w:pPr>
              <w:spacing w:after="0" w:line="126" w:lineRule="exact"/>
              <w:rPr>
                <w:sz w:val="20"/>
                <w:szCs w:val="20"/>
                <w:color w:val="auto"/>
              </w:rPr>
            </w:pPr>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1</w:t>
            </w:r>
          </w:p>
        </w:tc>
        <w:tc>
          <w:tcPr>
            <w:tcW w:w="9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20" w:type="dxa"/>
            <w:vAlign w:val="bottom"/>
            <w:tcBorders>
              <w:top w:val="single" w:sz="8" w:color="CCEEFF"/>
            </w:tcBorders>
          </w:tcPr>
          <w:p>
            <w:pPr>
              <w:spacing w:after="0" w:line="126" w:lineRule="exact"/>
              <w:rPr>
                <w:sz w:val="20"/>
                <w:szCs w:val="20"/>
                <w:color w:val="auto"/>
              </w:rPr>
            </w:pPr>
            <w:r>
              <w:rPr>
                <w:rFonts w:ascii="Arial" w:cs="Arial" w:eastAsia="Arial" w:hAnsi="Arial"/>
                <w:sz w:val="12"/>
                <w:szCs w:val="12"/>
                <w:color w:val="auto"/>
                <w:w w:val="90"/>
              </w:rPr>
              <w:t>Certification of Principal Executive Officer Pursuant to Rules 13a-14(a) and 15d-14(a), as amended, under the Securities Exchange Act of 1934, as Adopted Pursuant to Section 302 of the Sarbanes-Oxley Act</w:t>
            </w:r>
          </w:p>
        </w:tc>
      </w:tr>
      <w:tr>
        <w:trPr>
          <w:trHeight w:val="133"/>
        </w:trPr>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20" w:type="dxa"/>
            <w:vAlign w:val="bottom"/>
          </w:tcPr>
          <w:p>
            <w:pPr>
              <w:spacing w:after="0" w:line="133" w:lineRule="exact"/>
              <w:rPr>
                <w:sz w:val="20"/>
                <w:szCs w:val="20"/>
                <w:color w:val="auto"/>
              </w:rPr>
            </w:pPr>
            <w:r>
              <w:rPr>
                <w:rFonts w:ascii="Arial" w:cs="Arial" w:eastAsia="Arial" w:hAnsi="Arial"/>
                <w:sz w:val="12"/>
                <w:szCs w:val="12"/>
                <w:color w:val="auto"/>
              </w:rPr>
              <w:t>of 2002 (filed herewith).</w:t>
            </w:r>
          </w:p>
        </w:tc>
      </w:tr>
      <w:tr>
        <w:trPr>
          <w:trHeight w:val="126"/>
        </w:trPr>
        <w:tc>
          <w:tcPr>
            <w:tcW w:w="220" w:type="dxa"/>
            <w:vAlign w:val="bottom"/>
            <w:tcBorders>
              <w:bottom w:val="single" w:sz="8" w:color="0000FF"/>
            </w:tcBorders>
            <w:shd w:val="clear" w:color="auto" w:fill="CCEEFF"/>
          </w:tcPr>
          <w:p>
            <w:pPr>
              <w:spacing w:after="0" w:line="126" w:lineRule="exact"/>
              <w:rPr>
                <w:sz w:val="20"/>
                <w:szCs w:val="20"/>
                <w:color w:val="auto"/>
              </w:rPr>
            </w:pPr>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2</w:t>
            </w:r>
          </w:p>
        </w:tc>
        <w:tc>
          <w:tcPr>
            <w:tcW w:w="9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20" w:type="dxa"/>
            <w:vAlign w:val="bottom"/>
            <w:tcBorders>
              <w:bottom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w w:val="91"/>
              </w:rPr>
              <w:t>Certification of Principal Financial Officer Pursuant to Rules 13a-14(a) and 15d-14(a), as amended, under the Securities Exchange Act of 1934, as Adopted Pursuant to Section 302 of the Sarbanes-Oxley Act</w:t>
            </w:r>
          </w:p>
        </w:tc>
      </w:tr>
      <w:tr>
        <w:trPr>
          <w:trHeight w:val="133"/>
        </w:trPr>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of 2002 (filed herewith).</w:t>
            </w:r>
          </w:p>
        </w:tc>
      </w:tr>
      <w:tr>
        <w:trPr>
          <w:trHeight w:val="126"/>
        </w:trPr>
        <w:tc>
          <w:tcPr>
            <w:tcW w:w="220" w:type="dxa"/>
            <w:vAlign w:val="bottom"/>
            <w:tcBorders>
              <w:bottom w:val="single" w:sz="8" w:color="0000FF"/>
            </w:tcBorders>
          </w:tcPr>
          <w:p>
            <w:pPr>
              <w:spacing w:after="0" w:line="126" w:lineRule="exact"/>
              <w:rPr>
                <w:sz w:val="20"/>
                <w:szCs w:val="20"/>
                <w:color w:val="auto"/>
              </w:rPr>
            </w:pPr>
            <w:r>
              <w:rPr>
                <w:rFonts w:ascii="Arial" w:cs="Arial" w:eastAsia="Arial" w:hAnsi="Arial"/>
                <w:sz w:val="12"/>
                <w:szCs w:val="12"/>
                <w:color w:val="0000FF"/>
                <w:w w:val="85"/>
              </w:rPr>
              <w:t>32.</w:t>
            </w:r>
            <w:r>
              <w:rPr>
                <w:rFonts w:ascii="Arial" w:cs="Arial" w:eastAsia="Arial" w:hAnsi="Arial"/>
                <w:sz w:val="12"/>
                <w:szCs w:val="12"/>
                <w:u w:val="single" w:color="auto"/>
                <w:color w:val="0000FF"/>
                <w:w w:val="85"/>
              </w:rPr>
              <w:t>1</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20" w:type="dxa"/>
            <w:vAlign w:val="bottom"/>
          </w:tcPr>
          <w:p>
            <w:pPr>
              <w:spacing w:after="0" w:line="126" w:lineRule="exact"/>
              <w:rPr>
                <w:sz w:val="20"/>
                <w:szCs w:val="20"/>
                <w:color w:val="auto"/>
              </w:rPr>
            </w:pPr>
            <w:r>
              <w:rPr>
                <w:rFonts w:ascii="Arial" w:cs="Arial" w:eastAsia="Arial" w:hAnsi="Arial"/>
                <w:sz w:val="12"/>
                <w:szCs w:val="12"/>
                <w:color w:val="auto"/>
              </w:rPr>
              <w:t>Certification of Principal Executive Officer Pursuant to 18 U.S.C. Section 1350, as Adopted Pursuant to Section 906 of the Sarbanes-Oxley Act of 2002 (furnished herewith).</w:t>
            </w:r>
          </w:p>
        </w:tc>
      </w:tr>
      <w:tr>
        <w:trPr>
          <w:trHeight w:val="140"/>
        </w:trPr>
        <w:tc>
          <w:tcPr>
            <w:tcW w:w="220" w:type="dxa"/>
            <w:vAlign w:val="bottom"/>
            <w:tcBorders>
              <w:bottom w:val="single" w:sz="8" w:color="0000FF"/>
            </w:tcBorders>
          </w:tcPr>
          <w:p>
            <w:pPr>
              <w:spacing w:after="0" w:line="133" w:lineRule="exact"/>
              <w:rPr>
                <w:sz w:val="20"/>
                <w:szCs w:val="20"/>
                <w:color w:val="auto"/>
              </w:rPr>
            </w:pPr>
            <w:r>
              <w:rPr>
                <w:rFonts w:ascii="Arial" w:cs="Arial" w:eastAsia="Arial" w:hAnsi="Arial"/>
                <w:sz w:val="12"/>
                <w:szCs w:val="12"/>
                <w:color w:val="0000FF"/>
                <w:w w:val="85"/>
              </w:rPr>
              <w:t>32.</w:t>
            </w:r>
            <w:r>
              <w:rPr>
                <w:rFonts w:ascii="Arial" w:cs="Arial" w:eastAsia="Arial" w:hAnsi="Arial"/>
                <w:sz w:val="12"/>
                <w:szCs w:val="12"/>
                <w:u w:val="single" w:color="auto"/>
                <w:color w:val="0000FF"/>
                <w:w w:val="85"/>
              </w:rPr>
              <w:t>2</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20" w:type="dxa"/>
            <w:vAlign w:val="bottom"/>
          </w:tcPr>
          <w:p>
            <w:pPr>
              <w:spacing w:after="0" w:line="133" w:lineRule="exact"/>
              <w:rPr>
                <w:sz w:val="20"/>
                <w:szCs w:val="20"/>
                <w:color w:val="auto"/>
              </w:rPr>
            </w:pPr>
            <w:r>
              <w:rPr>
                <w:rFonts w:ascii="Arial" w:cs="Arial" w:eastAsia="Arial" w:hAnsi="Arial"/>
                <w:sz w:val="12"/>
                <w:szCs w:val="12"/>
                <w:color w:val="auto"/>
              </w:rPr>
              <w:t>Certification of Principal Financial Officer Pursuant to 18 U.S.C. Section 1350, as Adopted Pursuant to Section 906 of the Sarbanes-Oxley Act of 2002 (furnished herewith).</w:t>
            </w:r>
          </w:p>
        </w:tc>
      </w:tr>
      <w:tr>
        <w:trPr>
          <w:trHeight w:val="153"/>
        </w:trPr>
        <w:tc>
          <w:tcPr>
            <w:tcW w:w="1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101.INS</w:t>
            </w:r>
          </w:p>
        </w:tc>
        <w:tc>
          <w:tcPr>
            <w:tcW w:w="10020" w:type="dxa"/>
            <w:vAlign w:val="bottom"/>
            <w:shd w:val="clear" w:color="auto" w:fill="CCEEFF"/>
          </w:tcPr>
          <w:p>
            <w:pPr>
              <w:spacing w:after="0"/>
              <w:rPr>
                <w:sz w:val="20"/>
                <w:szCs w:val="20"/>
                <w:color w:val="auto"/>
              </w:rPr>
            </w:pPr>
            <w:r>
              <w:rPr>
                <w:rFonts w:ascii="Arial" w:cs="Arial" w:eastAsia="Arial" w:hAnsi="Arial"/>
                <w:sz w:val="12"/>
                <w:szCs w:val="12"/>
                <w:color w:val="auto"/>
              </w:rPr>
              <w:t>XBRL Instance Document</w:t>
            </w: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101.SCH</w:t>
            </w:r>
          </w:p>
        </w:tc>
        <w:tc>
          <w:tcPr>
            <w:tcW w:w="10020" w:type="dxa"/>
            <w:vAlign w:val="bottom"/>
          </w:tcPr>
          <w:p>
            <w:pPr>
              <w:spacing w:after="0"/>
              <w:rPr>
                <w:sz w:val="20"/>
                <w:szCs w:val="20"/>
                <w:color w:val="auto"/>
              </w:rPr>
            </w:pPr>
            <w:r>
              <w:rPr>
                <w:rFonts w:ascii="Arial" w:cs="Arial" w:eastAsia="Arial" w:hAnsi="Arial"/>
                <w:sz w:val="12"/>
                <w:szCs w:val="12"/>
                <w:color w:val="auto"/>
              </w:rPr>
              <w:t>XBRL Taxonomy Extension Schema Document</w:t>
            </w:r>
          </w:p>
        </w:tc>
      </w:tr>
      <w:tr>
        <w:trPr>
          <w:trHeight w:val="153"/>
        </w:trPr>
        <w:tc>
          <w:tcPr>
            <w:tcW w:w="1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101.CAL</w:t>
            </w:r>
          </w:p>
        </w:tc>
        <w:tc>
          <w:tcPr>
            <w:tcW w:w="10020" w:type="dxa"/>
            <w:vAlign w:val="bottom"/>
            <w:shd w:val="clear" w:color="auto" w:fill="CCEEFF"/>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101.DEF</w:t>
            </w:r>
          </w:p>
        </w:tc>
        <w:tc>
          <w:tcPr>
            <w:tcW w:w="10020" w:type="dxa"/>
            <w:vAlign w:val="bottom"/>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53"/>
        </w:trPr>
        <w:tc>
          <w:tcPr>
            <w:tcW w:w="1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101.LAB</w:t>
            </w:r>
          </w:p>
        </w:tc>
        <w:tc>
          <w:tcPr>
            <w:tcW w:w="10020" w:type="dxa"/>
            <w:vAlign w:val="bottom"/>
            <w:shd w:val="clear" w:color="auto" w:fill="CCEEFF"/>
          </w:tcPr>
          <w:p>
            <w:pPr>
              <w:spacing w:after="0"/>
              <w:rPr>
                <w:sz w:val="20"/>
                <w:szCs w:val="20"/>
                <w:color w:val="auto"/>
              </w:rPr>
            </w:pPr>
            <w:r>
              <w:rPr>
                <w:rFonts w:ascii="Arial" w:cs="Arial" w:eastAsia="Arial" w:hAnsi="Arial"/>
                <w:sz w:val="12"/>
                <w:szCs w:val="12"/>
                <w:color w:val="auto"/>
              </w:rPr>
              <w:t>XBRL Taxonomy Extension Label Linkbase Document</w:t>
            </w: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101.PRE</w:t>
            </w:r>
          </w:p>
        </w:tc>
        <w:tc>
          <w:tcPr>
            <w:tcW w:w="10020" w:type="dxa"/>
            <w:vAlign w:val="bottom"/>
          </w:tcPr>
          <w:p>
            <w:pPr>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66610" cy="97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ind w:left="1268" w:hanging="1256"/>
        <w:spacing w:after="0"/>
        <w:tabs>
          <w:tab w:leader="none" w:pos="12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document and contained in exhibit 101)</w:t>
      </w:r>
    </w:p>
    <w:p>
      <w:pPr>
        <w:spacing w:after="0" w:line="231" w:lineRule="exact"/>
        <w:rPr>
          <w:rFonts w:ascii="Arial" w:cs="Arial" w:eastAsia="Arial" w:hAnsi="Arial"/>
          <w:sz w:val="12"/>
          <w:szCs w:val="12"/>
          <w:color w:val="auto"/>
        </w:rPr>
      </w:pPr>
    </w:p>
    <w:p>
      <w:pPr>
        <w:ind w:left="8" w:hanging="8"/>
        <w:spacing w:after="0" w:line="207" w:lineRule="auto"/>
        <w:tabs>
          <w:tab w:leader="none" w:pos="89"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Pursuant to Item 601(b)(10)(iv) of Regulation S-K promulgated by the SEC, certain portions of this exhibit have been omitted. The Company hereby agrees to furnish supplementally to the SEC, upon its request, an unredacted copy of this exhibit.</w:t>
      </w:r>
    </w:p>
    <w:p>
      <w:pPr>
        <w:spacing w:after="0" w:line="3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47" w:name="page48"/>
    <w:bookmarkEnd w:id="47"/>
    <w:p>
      <w:pPr>
        <w:spacing w:after="0"/>
        <w:rPr>
          <w:sz w:val="20"/>
          <w:szCs w:val="20"/>
          <w:color w:val="auto"/>
        </w:rPr>
      </w:pPr>
      <w:r>
        <w:rPr>
          <w:rFonts w:ascii="Arial" w:cs="Arial" w:eastAsia="Arial" w:hAnsi="Arial"/>
          <w:sz w:val="10"/>
          <w:szCs w:val="10"/>
          <w:i w:val="1"/>
          <w:iCs w:val="1"/>
          <w:u w:val="single" w:color="auto"/>
          <w:color w:val="0000FF"/>
        </w:rPr>
        <w:t>Table of Content</w:t>
      </w: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Act of 1934, the Registrant has duly caused this report to be signed on its behalf by the undersigned, thereunto duly authorized, in the County of Somerset, State of New Jersey.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560" w:type="dxa"/>
            <w:vAlign w:val="bottom"/>
          </w:tcPr>
          <w:p>
            <w:pPr>
              <w:ind w:left="20"/>
              <w:spacing w:after="0"/>
              <w:rPr>
                <w:sz w:val="20"/>
                <w:szCs w:val="20"/>
                <w:color w:val="auto"/>
              </w:rPr>
            </w:pPr>
            <w:r>
              <w:rPr>
                <w:rFonts w:ascii="Arial" w:cs="Arial" w:eastAsia="Arial" w:hAnsi="Arial"/>
                <w:sz w:val="12"/>
                <w:szCs w:val="12"/>
                <w:color w:val="auto"/>
              </w:rPr>
              <w:t>Aquestive Therapeutics, Inc.</w:t>
            </w: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560" w:type="dxa"/>
            <w:vAlign w:val="bottom"/>
          </w:tcPr>
          <w:p>
            <w:pPr>
              <w:ind w:left="20"/>
              <w:spacing w:after="0"/>
              <w:rPr>
                <w:sz w:val="20"/>
                <w:szCs w:val="20"/>
                <w:color w:val="auto"/>
              </w:rPr>
            </w:pPr>
            <w:r>
              <w:rPr>
                <w:rFonts w:ascii="Arial" w:cs="Arial" w:eastAsia="Arial" w:hAnsi="Arial"/>
                <w:sz w:val="12"/>
                <w:szCs w:val="12"/>
                <w:color w:val="auto"/>
              </w:rPr>
              <w:t>(REGISTRANT)</w:t>
            </w:r>
          </w:p>
        </w:tc>
      </w:tr>
      <w:tr>
        <w:trPr>
          <w:trHeight w:val="315"/>
        </w:trPr>
        <w:tc>
          <w:tcPr>
            <w:tcW w:w="760" w:type="dxa"/>
            <w:vAlign w:val="bottom"/>
          </w:tcPr>
          <w:p>
            <w:pPr>
              <w:spacing w:after="0"/>
              <w:rPr>
                <w:sz w:val="20"/>
                <w:szCs w:val="20"/>
                <w:color w:val="auto"/>
              </w:rPr>
            </w:pPr>
            <w:r>
              <w:rPr>
                <w:rFonts w:ascii="Arial" w:cs="Arial" w:eastAsia="Arial" w:hAnsi="Arial"/>
                <w:sz w:val="12"/>
                <w:szCs w:val="12"/>
                <w:color w:val="auto"/>
              </w:rPr>
              <w:t>Date:</w:t>
            </w:r>
          </w:p>
        </w:tc>
        <w:tc>
          <w:tcPr>
            <w:tcW w:w="3120" w:type="dxa"/>
            <w:vAlign w:val="bottom"/>
          </w:tcPr>
          <w:p>
            <w:pPr>
              <w:ind w:left="500"/>
              <w:spacing w:after="0"/>
              <w:rPr>
                <w:sz w:val="20"/>
                <w:szCs w:val="20"/>
                <w:color w:val="auto"/>
              </w:rPr>
            </w:pPr>
            <w:r>
              <w:rPr>
                <w:rFonts w:ascii="Arial" w:cs="Arial" w:eastAsia="Arial" w:hAnsi="Arial"/>
                <w:sz w:val="12"/>
                <w:szCs w:val="12"/>
                <w:color w:val="auto"/>
              </w:rPr>
              <w:t>November 1, 2022</w:t>
            </w:r>
          </w:p>
        </w:tc>
        <w:tc>
          <w:tcPr>
            <w:tcW w:w="18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Daniel Barber</w:t>
            </w:r>
          </w:p>
        </w:tc>
      </w:tr>
      <w:tr>
        <w:trPr>
          <w:trHeight w:val="142"/>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560" w:type="dxa"/>
            <w:vAlign w:val="bottom"/>
          </w:tcPr>
          <w:p>
            <w:pPr>
              <w:jc w:val="center"/>
              <w:spacing w:after="0"/>
              <w:rPr>
                <w:sz w:val="20"/>
                <w:szCs w:val="20"/>
                <w:color w:val="auto"/>
              </w:rPr>
            </w:pPr>
            <w:r>
              <w:rPr>
                <w:rFonts w:ascii="Arial" w:cs="Arial" w:eastAsia="Arial" w:hAnsi="Arial"/>
                <w:sz w:val="12"/>
                <w:szCs w:val="12"/>
                <w:color w:val="auto"/>
                <w:w w:val="92"/>
              </w:rPr>
              <w:t>Daniel Barber</w:t>
            </w: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i w:val="1"/>
                <w:iCs w:val="1"/>
                <w:color w:val="auto"/>
                <w:w w:val="91"/>
              </w:rPr>
              <w:t>President and Chief Executive Officer</w:t>
            </w: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i w:val="1"/>
                <w:iCs w:val="1"/>
                <w:color w:val="auto"/>
                <w:w w:val="94"/>
              </w:rPr>
              <w:t>(Principal Executive Officer)</w:t>
            </w:r>
          </w:p>
        </w:tc>
      </w:tr>
      <w:tr>
        <w:trPr>
          <w:trHeight w:val="306"/>
        </w:trPr>
        <w:tc>
          <w:tcPr>
            <w:tcW w:w="760" w:type="dxa"/>
            <w:vAlign w:val="bottom"/>
          </w:tcPr>
          <w:p>
            <w:pPr>
              <w:spacing w:after="0"/>
              <w:rPr>
                <w:sz w:val="20"/>
                <w:szCs w:val="20"/>
                <w:color w:val="auto"/>
              </w:rPr>
            </w:pPr>
            <w:r>
              <w:rPr>
                <w:rFonts w:ascii="Arial" w:cs="Arial" w:eastAsia="Arial" w:hAnsi="Arial"/>
                <w:sz w:val="12"/>
                <w:szCs w:val="12"/>
                <w:color w:val="auto"/>
              </w:rPr>
              <w:t>Date:</w:t>
            </w:r>
          </w:p>
        </w:tc>
        <w:tc>
          <w:tcPr>
            <w:tcW w:w="3120" w:type="dxa"/>
            <w:vAlign w:val="bottom"/>
          </w:tcPr>
          <w:p>
            <w:pPr>
              <w:ind w:left="500"/>
              <w:spacing w:after="0"/>
              <w:rPr>
                <w:sz w:val="20"/>
                <w:szCs w:val="20"/>
                <w:color w:val="auto"/>
              </w:rPr>
            </w:pPr>
            <w:r>
              <w:rPr>
                <w:rFonts w:ascii="Arial" w:cs="Arial" w:eastAsia="Arial" w:hAnsi="Arial"/>
                <w:sz w:val="12"/>
                <w:szCs w:val="12"/>
                <w:color w:val="auto"/>
              </w:rPr>
              <w:t>November 1, 2022</w:t>
            </w:r>
          </w:p>
        </w:tc>
        <w:tc>
          <w:tcPr>
            <w:tcW w:w="18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/s/ A. Ernest Toth, Jr.</w:t>
            </w:r>
          </w:p>
        </w:tc>
      </w:tr>
      <w:tr>
        <w:trPr>
          <w:trHeight w:val="142"/>
        </w:trPr>
        <w:tc>
          <w:tcPr>
            <w:tcW w:w="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560" w:type="dxa"/>
            <w:vAlign w:val="bottom"/>
          </w:tcPr>
          <w:p>
            <w:pPr>
              <w:jc w:val="center"/>
              <w:spacing w:after="0"/>
              <w:rPr>
                <w:sz w:val="20"/>
                <w:szCs w:val="20"/>
                <w:color w:val="auto"/>
              </w:rPr>
            </w:pPr>
            <w:r>
              <w:rPr>
                <w:rFonts w:ascii="Arial" w:cs="Arial" w:eastAsia="Arial" w:hAnsi="Arial"/>
                <w:sz w:val="12"/>
                <w:szCs w:val="12"/>
                <w:color w:val="auto"/>
                <w:w w:val="90"/>
              </w:rPr>
              <w:t>A. Ernest Toth, Jr.</w:t>
            </w: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i w:val="1"/>
                <w:iCs w:val="1"/>
                <w:color w:val="auto"/>
                <w:w w:val="94"/>
              </w:rPr>
              <w:t>Chief Financial Officer</w:t>
            </w:r>
          </w:p>
        </w:tc>
      </w:tr>
      <w:tr>
        <w:trPr>
          <w:trHeight w:val="153"/>
        </w:trPr>
        <w:tc>
          <w:tcPr>
            <w:tcW w:w="7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560" w:type="dxa"/>
            <w:vAlign w:val="bottom"/>
          </w:tcPr>
          <w:p>
            <w:pPr>
              <w:jc w:val="center"/>
              <w:spacing w:after="0"/>
              <w:rPr>
                <w:sz w:val="20"/>
                <w:szCs w:val="20"/>
                <w:color w:val="auto"/>
              </w:rPr>
            </w:pPr>
            <w:r>
              <w:rPr>
                <w:rFonts w:ascii="Arial" w:cs="Arial" w:eastAsia="Arial" w:hAnsi="Arial"/>
                <w:sz w:val="12"/>
                <w:szCs w:val="12"/>
                <w:i w:val="1"/>
                <w:iCs w:val="1"/>
                <w:color w:val="auto"/>
                <w:w w:val="97"/>
              </w:rPr>
              <w:t>(Principal Financial Officer)</w:t>
            </w:r>
          </w:p>
        </w:tc>
      </w:tr>
      <w:tr>
        <w:trPr>
          <w:trHeight w:val="873"/>
        </w:trPr>
        <w:tc>
          <w:tcPr>
            <w:tcW w:w="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48</w:t>
            </w:r>
          </w:p>
        </w:tc>
        <w:tc>
          <w:tcPr>
            <w:tcW w:w="5560" w:type="dxa"/>
            <w:vAlign w:val="bottom"/>
          </w:tcPr>
          <w:p>
            <w:pPr>
              <w:spacing w:after="0"/>
              <w:rPr>
                <w:sz w:val="24"/>
                <w:szCs w:val="24"/>
                <w:color w:val="auto"/>
              </w:rPr>
            </w:pPr>
          </w:p>
        </w:tc>
      </w:tr>
    </w:tbl>
    <w:p>
      <w:pPr>
        <w:sectPr>
          <w:pgSz w:w="11900" w:h="16838" w:orient="portrait"/>
          <w:cols w:equalWidth="0" w:num="1">
            <w:col w:w="11280"/>
          </w:cols>
          <w:pgMar w:left="300" w:top="128" w:right="319"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6610" cy="5715"/>
                    </a:xfrm>
                    <a:prstGeom prst="rect">
                      <a:avLst/>
                    </a:prstGeom>
                    <a:noFill/>
                  </pic:spPr>
                </pic:pic>
              </a:graphicData>
            </a:graphic>
          </wp:anchor>
        </w:drawing>
        <w:t>Exhibit 31.1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 of 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Daniel Barber, certify that:</w:t>
      </w:r>
    </w:p>
    <w:p>
      <w:pPr>
        <w:spacing w:after="0" w:line="168"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Aquestive Therapeutics, Inc.;</w:t>
      </w:r>
    </w:p>
    <w:p>
      <w:pPr>
        <w:spacing w:after="0" w:line="168"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32" w:lineRule="exact"/>
        <w:rPr>
          <w:rFonts w:ascii="Arial" w:cs="Arial" w:eastAsia="Arial" w:hAnsi="Arial"/>
          <w:sz w:val="12"/>
          <w:szCs w:val="12"/>
          <w:color w:val="auto"/>
        </w:rPr>
      </w:pPr>
    </w:p>
    <w:p>
      <w:pPr>
        <w:ind w:left="420" w:right="1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640" w:right="460" w:hanging="216"/>
        <w:spacing w:after="0" w:line="276" w:lineRule="auto"/>
        <w:tabs>
          <w:tab w:leader="none" w:pos="633"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640" w:right="200" w:hanging="216"/>
        <w:spacing w:after="0" w:line="276" w:lineRule="auto"/>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640" w:right="240" w:hanging="216"/>
        <w:spacing w:after="0" w:line="276" w:lineRule="auto"/>
        <w:tabs>
          <w:tab w:leader="none" w:pos="633" w:val="left"/>
        </w:tabs>
        <w:numPr>
          <w:ilvl w:val="1"/>
          <w:numId w:val="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640" w:right="280" w:hanging="216"/>
        <w:spacing w:after="0" w:line="276" w:lineRule="auto"/>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2" w:lineRule="exact"/>
        <w:rPr>
          <w:rFonts w:ascii="Arial" w:cs="Arial" w:eastAsia="Arial" w:hAnsi="Arial"/>
          <w:sz w:val="12"/>
          <w:szCs w:val="12"/>
          <w:color w:val="auto"/>
        </w:rPr>
      </w:pPr>
    </w:p>
    <w:p>
      <w:pPr>
        <w:ind w:left="640" w:right="40" w:hanging="216"/>
        <w:spacing w:after="0" w:line="276" w:lineRule="auto"/>
        <w:tabs>
          <w:tab w:leader="none" w:pos="633"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 2022</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9525</wp:posOffset>
            </wp:positionV>
            <wp:extent cx="35775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Daniel Barber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President and Chief Executive Officer</w:t>
      </w:r>
    </w:p>
    <w:p>
      <w:pPr>
        <w:ind w:left="564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0"/>
          </w:cols>
          <w:pgMar w:left="300" w:top="937" w:right="2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6610" cy="5715"/>
                    </a:xfrm>
                    <a:prstGeom prst="rect">
                      <a:avLst/>
                    </a:prstGeom>
                    <a:noFill/>
                  </pic:spPr>
                </pic:pic>
              </a:graphicData>
            </a:graphic>
          </wp:anchor>
        </w:drawing>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and Accounting Officer of Aquestive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A. Ernest Toth, Jr, certify that:</w:t>
      </w:r>
    </w:p>
    <w:p>
      <w:pPr>
        <w:spacing w:after="0" w:line="168"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Aquestive Therapeutics, Inc.;</w:t>
      </w:r>
    </w:p>
    <w:p>
      <w:pPr>
        <w:spacing w:after="0" w:line="168"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132" w:lineRule="exact"/>
        <w:rPr>
          <w:rFonts w:ascii="Arial" w:cs="Arial" w:eastAsia="Arial" w:hAnsi="Arial"/>
          <w:sz w:val="12"/>
          <w:szCs w:val="12"/>
          <w:color w:val="auto"/>
        </w:rPr>
      </w:pPr>
    </w:p>
    <w:p>
      <w:pPr>
        <w:ind w:left="420" w:right="12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640" w:right="460" w:hanging="216"/>
        <w:spacing w:after="0" w:line="276" w:lineRule="auto"/>
        <w:tabs>
          <w:tab w:leader="none" w:pos="633"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640" w:right="200" w:hanging="216"/>
        <w:spacing w:after="0" w:line="276" w:lineRule="auto"/>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640" w:right="240" w:hanging="216"/>
        <w:spacing w:after="0" w:line="276" w:lineRule="auto"/>
        <w:tabs>
          <w:tab w:leader="none" w:pos="633"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640" w:right="280" w:hanging="216"/>
        <w:spacing w:after="0" w:line="276" w:lineRule="auto"/>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2" w:lineRule="exact"/>
        <w:rPr>
          <w:rFonts w:ascii="Arial" w:cs="Arial" w:eastAsia="Arial" w:hAnsi="Arial"/>
          <w:sz w:val="12"/>
          <w:szCs w:val="12"/>
          <w:color w:val="auto"/>
        </w:rPr>
      </w:pPr>
    </w:p>
    <w:p>
      <w:pPr>
        <w:ind w:left="640" w:right="40" w:hanging="216"/>
        <w:spacing w:after="0" w:line="276" w:lineRule="auto"/>
        <w:tabs>
          <w:tab w:leader="none" w:pos="633"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 2022</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9525</wp:posOffset>
            </wp:positionV>
            <wp:extent cx="35775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 w:lineRule="exact"/>
        <w:rPr>
          <w:sz w:val="20"/>
          <w:szCs w:val="20"/>
          <w:color w:val="auto"/>
        </w:rPr>
      </w:pPr>
    </w:p>
    <w:p>
      <w:pPr>
        <w:ind w:left="5860"/>
        <w:spacing w:after="0"/>
        <w:tabs>
          <w:tab w:leader="none" w:pos="604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Ernest Toth, Jr.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Chief Financial Officer</w:t>
      </w:r>
    </w:p>
    <w:p>
      <w:pPr>
        <w:ind w:left="5640"/>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0"/>
          </w:cols>
          <w:pgMar w:left="300" w:top="937"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6610" cy="5715"/>
                    </a:xfrm>
                    <a:prstGeom prst="rect">
                      <a:avLst/>
                    </a:prstGeom>
                    <a:noFill/>
                  </pic:spPr>
                </pic:pic>
              </a:graphicData>
            </a:graphic>
          </wp:anchor>
        </w:drawing>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59"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133" w:lineRule="exact"/>
        <w:rPr>
          <w:sz w:val="20"/>
          <w:szCs w:val="20"/>
          <w:color w:val="auto"/>
        </w:rPr>
      </w:pPr>
    </w:p>
    <w:p>
      <w:pPr>
        <w:ind w:left="420" w:right="10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period-ended September 30, 2022, to which this Certification is attached as Exhibit 32.1 (the “Quarterly Report”), fully complies with the requirements of Section 13(a) or Section 15(d) of the Exchange Act; and</w:t>
      </w:r>
    </w:p>
    <w:p>
      <w:pPr>
        <w:spacing w:after="0" w:line="132"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 2022</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9525</wp:posOffset>
            </wp:positionV>
            <wp:extent cx="35775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Daniel Barber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President and Chief Executive Officer</w:t>
      </w:r>
    </w:p>
    <w:p>
      <w:pPr>
        <w:ind w:left="5640"/>
        <w:spacing w:after="0"/>
        <w:rPr>
          <w:sz w:val="20"/>
          <w:szCs w:val="20"/>
          <w:color w:val="auto"/>
        </w:rPr>
      </w:pPr>
      <w:r>
        <w:rPr>
          <w:rFonts w:ascii="Arial" w:cs="Arial" w:eastAsia="Arial" w:hAnsi="Arial"/>
          <w:sz w:val="12"/>
          <w:szCs w:val="12"/>
          <w:i w:val="1"/>
          <w:iCs w:val="1"/>
          <w:color w:val="auto"/>
        </w:rPr>
        <w:t>(Principal Executive Officer)</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certification accompanies the Form 10-Q to which it relates, is not deemed filed with the Securities and Exchange Commission and is not to be incorporated by reference into any filing of Aquestive Therapeutics, Inc.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300"/>
          </w:cols>
          <w:pgMar w:left="300" w:top="937" w:right="2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540385</wp:posOffset>
            </wp:positionV>
            <wp:extent cx="716661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6610" cy="5715"/>
                    </a:xfrm>
                    <a:prstGeom prst="rect">
                      <a:avLst/>
                    </a:prstGeom>
                    <a:noFill/>
                  </pic:spPr>
                </pic:pic>
              </a:graphicData>
            </a:graphic>
          </wp:anchor>
        </w:drawing>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and Accounting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906 of the Sarbanes-Oxley Act of 2002</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 set forth in Rule 13a-14(b) of the Securities Exchange Act of 1934, as amended (the “Exchange Act”), and Section 1350 of Chapter 63 of Title 18 of the United States Code (18 U.S.C. §1350), I, A.</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Ernest Toth, Jr., Chief Financial Officer of Aquestive Therapeutics, Inc. (the “Company”), hereby certify that, to the best of my knowledge:</w:t>
      </w:r>
    </w:p>
    <w:p>
      <w:pPr>
        <w:spacing w:after="0" w:line="159" w:lineRule="exact"/>
        <w:rPr>
          <w:sz w:val="20"/>
          <w:szCs w:val="20"/>
          <w:color w:val="auto"/>
        </w:rPr>
      </w:pPr>
    </w:p>
    <w:p>
      <w:pPr>
        <w:ind w:left="420" w:right="100" w:hanging="212"/>
        <w:spacing w:after="0" w:line="276"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period-ended September 30, 2022, to which this Certification is attached as Exhibit 32.2 (the “Quarterly Report”), fully complies with the requirements of Section 13(a) or Section 15(d) of the Exchange Act; and</w:t>
      </w:r>
    </w:p>
    <w:p>
      <w:pPr>
        <w:spacing w:after="0" w:line="132"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 2022</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9525</wp:posOffset>
            </wp:positionV>
            <wp:extent cx="35775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 w:lineRule="exact"/>
        <w:rPr>
          <w:sz w:val="20"/>
          <w:szCs w:val="20"/>
          <w:color w:val="auto"/>
        </w:rPr>
      </w:pPr>
    </w:p>
    <w:p>
      <w:pPr>
        <w:ind w:left="5860"/>
        <w:spacing w:after="0"/>
        <w:tabs>
          <w:tab w:leader="none" w:pos="604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Ernest Toth, Jr.</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Chief Financial Officer</w:t>
      </w:r>
    </w:p>
    <w:p>
      <w:pPr>
        <w:ind w:left="5640"/>
        <w:spacing w:after="0"/>
        <w:rPr>
          <w:sz w:val="20"/>
          <w:szCs w:val="20"/>
          <w:color w:val="auto"/>
        </w:rPr>
      </w:pPr>
      <w:r>
        <w:rPr>
          <w:rFonts w:ascii="Arial" w:cs="Arial" w:eastAsia="Arial" w:hAnsi="Arial"/>
          <w:sz w:val="12"/>
          <w:szCs w:val="12"/>
          <w:i w:val="1"/>
          <w:iCs w:val="1"/>
          <w:color w:val="auto"/>
        </w:rPr>
        <w:t>(Principal Financial Officer)</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certification accompanies the Form 10-Q to which it relates, is not deemed filed with the Securities and Exchange Commission and is not to be incorporated by reference into any filing of Aquestive Therapeutics, Inc.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300"/>
      </w:cols>
      <w:pgMar w:left="300" w:top="9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2022-11-01T16:09:32Z</dcterms:created>
  <dcterms:modified xsi:type="dcterms:W3CDTF">2022-11-01T16:09:32Z</dcterms:modified>
</cp:coreProperties>
</file>