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7.jpeg" ContentType="image/jpeg"/>
  <Override PartName="/word/media/image1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2.gif" ContentType="image/gif"/>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bidi w:val="0"/>
        <w:spacing w:before="0" w:after="0"/>
        <w:jc w:val="left"/>
        <w:rPr/>
      </w:pPr>
      <w:r>
        <w:rPr/>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before="0" w:after="0"/>
        <w:ind w:left="0" w:right="0" w:hanging="72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fiscal year ended December 31, 2024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before="0" w:after="0"/>
        <w:jc w:val="left"/>
        <w:rPr/>
      </w:pPr>
      <w:r>
        <w:rPr/>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ind w:left="0" w:right="0" w:hanging="72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before="0" w:after="0"/>
        <w:ind w:left="0" w:right="0" w:hanging="720"/>
        <w:jc w:val="left"/>
        <w:rPr/>
      </w:pPr>
      <w:r>
        <w:rPr/>
      </w:r>
    </w:p>
    <w:p>
      <w:pPr>
        <w:pStyle w:val="TextBody"/>
        <w:bidi w:val="0"/>
        <w:spacing w:lineRule="auto" w:line="288" w:before="0" w:after="0"/>
        <w:jc w:val="center"/>
        <w:rPr/>
      </w:pPr>
      <w:r>
        <w:rPr>
          <w:rFonts w:ascii="Times New Roman;sans-serif" w:hAnsi="Times New Roman;sans-serif"/>
          <w:b/>
          <w:color w:val="000000"/>
          <w:sz w:val="18"/>
        </w:rPr>
        <w:t>For the transition period from _____</w:t>
      </w:r>
      <w:r>
        <w:rPr>
          <w:color w:val="000000"/>
        </w:rPr>
        <w:t xml:space="preserve">  </w:t>
      </w:r>
      <w:r>
        <w:rPr>
          <w:rFonts w:ascii="Times New Roman;sans-serif" w:hAnsi="Times New Roman;sans-serif"/>
          <w:b/>
          <w:color w:val="000000"/>
          <w:sz w:val="18"/>
        </w:rPr>
        <w:t>to 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001-38599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Aquestive Therapeutics, Inc. </w:t>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before="0" w:after="0"/>
        <w:jc w:val="left"/>
        <w:rPr/>
      </w:pPr>
      <w:r>
        <w:rPr/>
      </w:r>
    </w:p>
    <w:tbl>
      <w:tblPr>
        <w:tblW w:w="7812" w:type="dxa"/>
        <w:jc w:val="left"/>
        <w:tblInd w:w="0" w:type="dxa"/>
        <w:tblLayout w:type="fixed"/>
        <w:tblCellMar>
          <w:top w:w="28" w:type="dxa"/>
          <w:left w:w="28" w:type="dxa"/>
          <w:bottom w:w="28" w:type="dxa"/>
          <w:right w:w="28" w:type="dxa"/>
        </w:tblCellMar>
      </w:tblPr>
      <w:tblGrid>
        <w:gridCol w:w="1607"/>
        <w:gridCol w:w="1418"/>
        <w:gridCol w:w="1430"/>
        <w:gridCol w:w="109"/>
        <w:gridCol w:w="109"/>
        <w:gridCol w:w="109"/>
        <w:gridCol w:w="883"/>
        <w:gridCol w:w="883"/>
        <w:gridCol w:w="1264"/>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82-3827296</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30 Technology Drive, Warren, NJ</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07059</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18"/>
        </w:rPr>
        <w:t>(</w:t>
      </w:r>
      <w:r>
        <w:rPr>
          <w:rFonts w:ascii="Times New Roman;sans-serif" w:hAnsi="Times New Roman;sans-serif"/>
          <w:b/>
          <w:color w:val="000000"/>
          <w:sz w:val="18"/>
        </w:rPr>
        <w:t>908) 941-1900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887" w:type="dxa"/>
        <w:jc w:val="left"/>
        <w:tblInd w:w="0" w:type="dxa"/>
        <w:tblLayout w:type="fixed"/>
        <w:tblCellMar>
          <w:top w:w="28" w:type="dxa"/>
          <w:left w:w="28" w:type="dxa"/>
          <w:bottom w:w="28" w:type="dxa"/>
          <w:right w:w="28" w:type="dxa"/>
        </w:tblCellMar>
      </w:tblPr>
      <w:tblGrid>
        <w:gridCol w:w="1155"/>
        <w:gridCol w:w="1017"/>
        <w:gridCol w:w="1023"/>
        <w:gridCol w:w="109"/>
        <w:gridCol w:w="109"/>
        <w:gridCol w:w="109"/>
        <w:gridCol w:w="519"/>
        <w:gridCol w:w="519"/>
        <w:gridCol w:w="521"/>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AQST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No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if the registrant is not required to file reports pursuant to Section 13 or Section 15(d) of the Act.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No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No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8650"/>
                <wp:effectExtent l="0" t="0" r="0" b="0"/>
                <wp:wrapNone/>
                <wp:docPr id="1" name="Frame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4974"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to Section 13(a) of the Securities Act.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Sarbanes-Oxley Act (15 U.S.C. 7262(b)) by the registered public accounting firm that prepared or issued its audit report. ☐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Section 240.10D-1(b).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is a shell company (as defined in Rule 12b-2 of the Exchange Act). ☐ Yes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No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June 28, 2024, the last business day of the registrant’s most recently completed second fiscal quarter, the aggregate market value of the common stock held by non-affiliates of the registrant was approximately $207.3 million based on the closing price of the registrant’s common stock on such date.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The number of outstanding shares of the registrant’s par value $0.001 common stock as of the close of business on March 3, 2025 was </w:t>
      </w:r>
      <w:r>
        <w:rPr>
          <w:rFonts w:ascii="Times New Roman;sans-serif" w:hAnsi="Times New Roman;sans-serif"/>
          <w:b w:val="false"/>
          <w:color w:val="000000"/>
          <w:sz w:val="20"/>
        </w:rPr>
        <w:t>98,871,369</w:t>
      </w:r>
      <w:r>
        <w:rPr>
          <w:rFonts w:ascii="Times New Roman;sans-serif" w:hAnsi="Times New Roman;sans-serif"/>
          <w:b w:val="false"/>
          <w:color w:val="000000"/>
          <w:sz w:val="18"/>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 intends to file a definitive proxy statement pursuant to Regulation 14A in connection with its 2025 Annual Meeting of Shareholders within 120 days of the end of its fiscal year ended December 31, 2024. Portions of such definitive proxy statement are incorporated by reference into Part III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59130"/>
                <wp:effectExtent l="0" t="0" r="0" b="0"/>
                <wp:wrapNone/>
                <wp:docPr id="2" name="Frame2"/>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7"/>
        <w:gridCol w:w="2851"/>
        <w:gridCol w:w="2818"/>
        <w:gridCol w:w="2828"/>
        <w:gridCol w:w="255"/>
        <w:gridCol w:w="255"/>
        <w:gridCol w:w="365"/>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Glossary of Terms, Abbreviations and Acronyms</w:t>
            </w:r>
          </w:p>
        </w:tc>
        <w:tc>
          <w:tcPr>
            <w:tcW w:w="8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6">
              <w:r>
                <w:rPr>
                  <w:rStyle w:val="InternetLink"/>
                  <w:rFonts w:ascii="Times New Roman;sans-serif" w:hAnsi="Times New Roman;sans-serif"/>
                  <w:b w:val="false"/>
                  <w:strike w:val="false"/>
                  <w:dstrike w:val="false"/>
                  <w:color w:val="000000"/>
                  <w:sz w:val="20"/>
                  <w:u w:val="none"/>
                  <w:effect w:val="none"/>
                </w:rPr>
                <w:t>PART I</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6">
              <w:r>
                <w:rPr>
                  <w:rStyle w:val="InternetLink"/>
                  <w:rFonts w:ascii="Times New Roman;sans-serif" w:hAnsi="Times New Roman;sans-serif"/>
                  <w:b w:val="false"/>
                  <w:color w:val="0000FF"/>
                  <w:sz w:val="20"/>
                  <w:u w:val="single"/>
                </w:rPr>
                <w:t>7</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22">
              <w:r>
                <w:rPr>
                  <w:rStyle w:val="InternetLink"/>
                  <w:rFonts w:ascii="Times New Roman;sans-serif" w:hAnsi="Times New Roman;sans-serif"/>
                  <w:b w:val="false"/>
                  <w:strike w:val="false"/>
                  <w:dstrike w:val="false"/>
                  <w:color w:val="000000"/>
                  <w:sz w:val="20"/>
                  <w:u w:val="none"/>
                  <w:effect w:val="none"/>
                </w:rPr>
                <w:t>Item 1.</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22">
              <w:r>
                <w:rPr>
                  <w:rStyle w:val="InternetLink"/>
                  <w:rFonts w:ascii="Times New Roman;sans-serif" w:hAnsi="Times New Roman;sans-serif"/>
                  <w:b w:val="false"/>
                  <w:strike w:val="false"/>
                  <w:dstrike w:val="false"/>
                  <w:color w:val="000000"/>
                  <w:sz w:val="20"/>
                  <w:u w:val="none"/>
                  <w:effect w:val="none"/>
                </w:rPr>
                <w:t>Business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22">
              <w:r>
                <w:rPr>
                  <w:rStyle w:val="InternetLink"/>
                  <w:rFonts w:ascii="Times New Roman;sans-serif" w:hAnsi="Times New Roman;sans-serif"/>
                  <w:b w:val="false"/>
                  <w:color w:val="0000FF"/>
                  <w:sz w:val="20"/>
                  <w:u w:val="single"/>
                </w:rPr>
                <w:t>9</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25">
              <w:r>
                <w:rPr>
                  <w:rStyle w:val="InternetLink"/>
                  <w:rFonts w:ascii="Times New Roman;sans-serif" w:hAnsi="Times New Roman;sans-serif"/>
                  <w:b w:val="false"/>
                  <w:strike w:val="false"/>
                  <w:dstrike w:val="false"/>
                  <w:color w:val="000000"/>
                  <w:sz w:val="20"/>
                  <w:u w:val="none"/>
                  <w:effect w:val="none"/>
                </w:rPr>
                <w:t>Risk Factors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25">
              <w:r>
                <w:rPr>
                  <w:rStyle w:val="InternetLink"/>
                  <w:rFonts w:ascii="Times New Roman;sans-serif" w:hAnsi="Times New Roman;sans-serif"/>
                  <w:b w:val="false"/>
                  <w:color w:val="0000FF"/>
                  <w:sz w:val="20"/>
                  <w:u w:val="single"/>
                </w:rPr>
                <w:t>29</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28">
              <w:r>
                <w:rPr>
                  <w:rStyle w:val="InternetLink"/>
                  <w:rFonts w:ascii="Times New Roman;sans-serif" w:hAnsi="Times New Roman;sans-serif"/>
                  <w:b w:val="false"/>
                  <w:strike w:val="false"/>
                  <w:dstrike w:val="false"/>
                  <w:color w:val="000000"/>
                  <w:sz w:val="20"/>
                  <w:u w:val="none"/>
                  <w:effect w:val="none"/>
                </w:rPr>
                <w:t>Item 1B.</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28">
              <w:r>
                <w:rPr>
                  <w:rStyle w:val="InternetLink"/>
                  <w:rFonts w:ascii="Times New Roman;sans-serif" w:hAnsi="Times New Roman;sans-serif"/>
                  <w:b w:val="false"/>
                  <w:strike w:val="false"/>
                  <w:dstrike w:val="false"/>
                  <w:color w:val="000000"/>
                  <w:sz w:val="20"/>
                  <w:u w:val="none"/>
                  <w:effect w:val="none"/>
                </w:rPr>
                <w:t>Unresolved Staff Comments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28">
              <w:r>
                <w:rPr>
                  <w:rStyle w:val="InternetLink"/>
                  <w:rFonts w:ascii="Times New Roman;sans-serif" w:hAnsi="Times New Roman;sans-serif"/>
                  <w:b w:val="false"/>
                  <w:color w:val="0000FF"/>
                  <w:sz w:val="20"/>
                  <w:u w:val="single"/>
                </w:rPr>
                <w:t>65</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31">
              <w:r>
                <w:rPr>
                  <w:rStyle w:val="InternetLink"/>
                  <w:rFonts w:ascii="Times New Roman;sans-serif" w:hAnsi="Times New Roman;sans-serif"/>
                  <w:b w:val="false"/>
                  <w:color w:val="0000FF"/>
                  <w:sz w:val="20"/>
                  <w:u w:val="single"/>
                </w:rPr>
                <w:t>65</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34">
              <w:r>
                <w:rPr>
                  <w:rStyle w:val="InternetLink"/>
                  <w:rFonts w:ascii="Times New Roman;sans-serif" w:hAnsi="Times New Roman;sans-serif"/>
                  <w:b w:val="false"/>
                  <w:strike w:val="false"/>
                  <w:dstrike w:val="false"/>
                  <w:color w:val="000000"/>
                  <w:sz w:val="20"/>
                  <w:u w:val="none"/>
                  <w:effect w:val="none"/>
                </w:rPr>
                <w:t>Item 2.</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34">
              <w:r>
                <w:rPr>
                  <w:rStyle w:val="InternetLink"/>
                  <w:rFonts w:ascii="Times New Roman;sans-serif" w:hAnsi="Times New Roman;sans-serif"/>
                  <w:b w:val="false"/>
                  <w:strike w:val="false"/>
                  <w:dstrike w:val="false"/>
                  <w:color w:val="000000"/>
                  <w:sz w:val="20"/>
                  <w:u w:val="none"/>
                  <w:effect w:val="none"/>
                </w:rPr>
                <w:t>Properties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34">
              <w:r>
                <w:rPr>
                  <w:rStyle w:val="InternetLink"/>
                  <w:rFonts w:ascii="Times New Roman;sans-serif" w:hAnsi="Times New Roman;sans-serif"/>
                  <w:b w:val="false"/>
                  <w:color w:val="0000FF"/>
                  <w:sz w:val="20"/>
                  <w:u w:val="single"/>
                </w:rPr>
                <w:t>65</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37">
              <w:r>
                <w:rPr>
                  <w:rStyle w:val="InternetLink"/>
                  <w:rFonts w:ascii="Times New Roman;sans-serif" w:hAnsi="Times New Roman;sans-serif"/>
                  <w:b w:val="false"/>
                  <w:strike w:val="false"/>
                  <w:dstrike w:val="false"/>
                  <w:color w:val="000000"/>
                  <w:sz w:val="20"/>
                  <w:u w:val="none"/>
                  <w:effect w:val="none"/>
                </w:rPr>
                <w:t>Item 3.</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37">
              <w:r>
                <w:rPr>
                  <w:rStyle w:val="InternetLink"/>
                  <w:rFonts w:ascii="Times New Roman;sans-serif" w:hAnsi="Times New Roman;sans-serif"/>
                  <w:b w:val="false"/>
                  <w:strike w:val="false"/>
                  <w:dstrike w:val="false"/>
                  <w:color w:val="000000"/>
                  <w:sz w:val="20"/>
                  <w:u w:val="none"/>
                  <w:effect w:val="none"/>
                </w:rPr>
                <w:t>Legal Proceedings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37">
              <w:r>
                <w:rPr>
                  <w:rStyle w:val="InternetLink"/>
                  <w:rFonts w:ascii="Times New Roman;sans-serif" w:hAnsi="Times New Roman;sans-serif"/>
                  <w:b w:val="false"/>
                  <w:color w:val="0000FF"/>
                  <w:sz w:val="20"/>
                  <w:u w:val="single"/>
                </w:rPr>
                <w:t>65</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40">
              <w:r>
                <w:rPr>
                  <w:rStyle w:val="InternetLink"/>
                  <w:rFonts w:ascii="Times New Roman;sans-serif" w:hAnsi="Times New Roman;sans-serif"/>
                  <w:b w:val="false"/>
                  <w:strike w:val="false"/>
                  <w:dstrike w:val="false"/>
                  <w:color w:val="000000"/>
                  <w:sz w:val="20"/>
                  <w:u w:val="none"/>
                  <w:effect w:val="none"/>
                </w:rPr>
                <w:t>Item 4.</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40">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40">
              <w:r>
                <w:rPr>
                  <w:rStyle w:val="InternetLink"/>
                  <w:rFonts w:ascii="Times New Roman;sans-serif" w:hAnsi="Times New Roman;sans-serif"/>
                  <w:b w:val="false"/>
                  <w:color w:val="0000FF"/>
                  <w:sz w:val="20"/>
                  <w:u w:val="single"/>
                </w:rPr>
                <w:t>66</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43">
              <w:r>
                <w:rPr>
                  <w:rStyle w:val="InternetLink"/>
                  <w:rFonts w:ascii="Times New Roman;sans-serif" w:hAnsi="Times New Roman;sans-serif"/>
                  <w:b w:val="false"/>
                  <w:strike w:val="false"/>
                  <w:dstrike w:val="false"/>
                  <w:color w:val="000000"/>
                  <w:sz w:val="20"/>
                  <w:u w:val="none"/>
                  <w:effect w:val="none"/>
                </w:rPr>
                <w:t>PART II</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43">
              <w:r>
                <w:rPr>
                  <w:rStyle w:val="InternetLink"/>
                  <w:rFonts w:ascii="Times New Roman;sans-serif" w:hAnsi="Times New Roman;sans-serif"/>
                  <w:b w:val="false"/>
                  <w:color w:val="0000FF"/>
                  <w:sz w:val="20"/>
                  <w:u w:val="single"/>
                </w:rPr>
                <w:t>66</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46">
              <w:r>
                <w:rPr>
                  <w:rStyle w:val="InternetLink"/>
                  <w:rFonts w:ascii="Times New Roman;sans-serif" w:hAnsi="Times New Roman;sans-serif"/>
                  <w:b w:val="false"/>
                  <w:strike w:val="false"/>
                  <w:dstrike w:val="false"/>
                  <w:color w:val="000000"/>
                  <w:sz w:val="20"/>
                  <w:u w:val="none"/>
                  <w:effect w:val="none"/>
                </w:rPr>
                <w:t>Item 5.</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46">
              <w:r>
                <w:rPr>
                  <w:rStyle w:val="InternetLink"/>
                  <w:rFonts w:ascii="Times New Roman;sans-serif" w:hAnsi="Times New Roman;sans-serif"/>
                  <w:b w:val="false"/>
                  <w:strike w:val="false"/>
                  <w:dstrike w:val="false"/>
                  <w:color w:val="000000"/>
                  <w:sz w:val="20"/>
                  <w:u w:val="none"/>
                  <w:effect w:val="none"/>
                </w:rPr>
                <w:t>Market for Registrant’s Common Equity, Related Stockholder Matters and Issuer Purchases of Equity Securities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46">
              <w:r>
                <w:rPr>
                  <w:rStyle w:val="InternetLink"/>
                  <w:rFonts w:ascii="Times New Roman;sans-serif" w:hAnsi="Times New Roman;sans-serif"/>
                  <w:b w:val="false"/>
                  <w:color w:val="0000FF"/>
                  <w:sz w:val="20"/>
                  <w:u w:val="single"/>
                </w:rPr>
                <w:t>66</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49">
              <w:r>
                <w:rPr>
                  <w:rStyle w:val="InternetLink"/>
                  <w:rFonts w:ascii="Times New Roman;sans-serif" w:hAnsi="Times New Roman;sans-serif"/>
                  <w:b w:val="false"/>
                  <w:strike w:val="false"/>
                  <w:dstrike w:val="false"/>
                  <w:color w:val="000000"/>
                  <w:sz w:val="20"/>
                  <w:u w:val="none"/>
                  <w:effect w:val="none"/>
                </w:rPr>
                <w:t>Item 6.</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49">
              <w:r>
                <w:rPr>
                  <w:rStyle w:val="InternetLink"/>
                  <w:rFonts w:ascii="Times New Roman;sans-serif" w:hAnsi="Times New Roman;sans-serif"/>
                  <w:b w:val="false"/>
                  <w:color w:val="0000FF"/>
                  <w:sz w:val="20"/>
                  <w:u w:val="single"/>
                </w:rPr>
                <w:t>66</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52">
              <w:r>
                <w:rPr>
                  <w:rStyle w:val="InternetLink"/>
                  <w:rFonts w:ascii="Times New Roman;sans-serif" w:hAnsi="Times New Roman;sans-serif"/>
                  <w:b w:val="false"/>
                  <w:strike w:val="false"/>
                  <w:dstrike w:val="false"/>
                  <w:color w:val="000000"/>
                  <w:sz w:val="20"/>
                  <w:u w:val="none"/>
                  <w:effect w:val="none"/>
                </w:rPr>
                <w:t>Item 7.</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52">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52">
              <w:r>
                <w:rPr>
                  <w:rStyle w:val="InternetLink"/>
                  <w:rFonts w:ascii="Times New Roman;sans-serif" w:hAnsi="Times New Roman;sans-serif"/>
                  <w:b w:val="false"/>
                  <w:color w:val="0000FF"/>
                  <w:sz w:val="20"/>
                  <w:u w:val="single"/>
                </w:rPr>
                <w:t>67</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79">
              <w:r>
                <w:rPr>
                  <w:rStyle w:val="InternetLink"/>
                  <w:rFonts w:ascii="Times New Roman;sans-serif" w:hAnsi="Times New Roman;sans-serif"/>
                  <w:b w:val="false"/>
                  <w:strike w:val="false"/>
                  <w:dstrike w:val="false"/>
                  <w:color w:val="000000"/>
                  <w:sz w:val="20"/>
                  <w:u w:val="none"/>
                  <w:effect w:val="none"/>
                </w:rPr>
                <w:t>Item 7A.</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79">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79">
              <w:r>
                <w:rPr>
                  <w:rStyle w:val="InternetLink"/>
                  <w:rFonts w:ascii="Times New Roman;sans-serif" w:hAnsi="Times New Roman;sans-serif"/>
                  <w:b w:val="false"/>
                  <w:color w:val="0000FF"/>
                  <w:sz w:val="20"/>
                  <w:u w:val="single"/>
                </w:rPr>
                <w:t>78</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82">
              <w:r>
                <w:rPr>
                  <w:rStyle w:val="InternetLink"/>
                  <w:rFonts w:ascii="Times New Roman;sans-serif" w:hAnsi="Times New Roman;sans-serif"/>
                  <w:b w:val="false"/>
                  <w:strike w:val="false"/>
                  <w:dstrike w:val="false"/>
                  <w:color w:val="000000"/>
                  <w:sz w:val="20"/>
                  <w:u w:val="none"/>
                  <w:effect w:val="none"/>
                </w:rPr>
                <w:t>Item 8.</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82">
              <w:r>
                <w:rPr>
                  <w:rStyle w:val="InternetLink"/>
                  <w:rFonts w:ascii="Times New Roman;sans-serif" w:hAnsi="Times New Roman;sans-serif"/>
                  <w:b w:val="false"/>
                  <w:strike w:val="false"/>
                  <w:dstrike w:val="false"/>
                  <w:color w:val="000000"/>
                  <w:sz w:val="20"/>
                  <w:u w:val="none"/>
                  <w:effect w:val="none"/>
                </w:rPr>
                <w:t>Financial Statements and Supplementary Data</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82">
              <w:r>
                <w:rPr>
                  <w:rStyle w:val="InternetLink"/>
                  <w:rFonts w:ascii="Times New Roman;sans-serif" w:hAnsi="Times New Roman;sans-serif"/>
                  <w:b w:val="false"/>
                  <w:color w:val="0000FF"/>
                  <w:sz w:val="20"/>
                  <w:u w:val="single"/>
                </w:rPr>
                <w:t>78</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85">
              <w:r>
                <w:rPr>
                  <w:rStyle w:val="InternetLink"/>
                  <w:rFonts w:ascii="Times New Roman;sans-serif" w:hAnsi="Times New Roman;sans-serif"/>
                  <w:b w:val="false"/>
                  <w:strike w:val="false"/>
                  <w:dstrike w:val="false"/>
                  <w:color w:val="000000"/>
                  <w:sz w:val="20"/>
                  <w:u w:val="none"/>
                  <w:effect w:val="none"/>
                </w:rPr>
                <w:t>Item 9.</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85">
              <w:r>
                <w:rPr>
                  <w:rStyle w:val="InternetLink"/>
                  <w:rFonts w:ascii="Times New Roman;sans-serif" w:hAnsi="Times New Roman;sans-serif"/>
                  <w:b w:val="false"/>
                  <w:strike w:val="false"/>
                  <w:dstrike w:val="false"/>
                  <w:color w:val="000000"/>
                  <w:sz w:val="20"/>
                  <w:u w:val="none"/>
                  <w:effect w:val="none"/>
                </w:rPr>
                <w:t>Changes in and Disagreements with Accountants on Accounting and Financial Disclosure</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85">
              <w:r>
                <w:rPr>
                  <w:rStyle w:val="InternetLink"/>
                  <w:rFonts w:ascii="Times New Roman;sans-serif" w:hAnsi="Times New Roman;sans-serif"/>
                  <w:b w:val="false"/>
                  <w:color w:val="0000FF"/>
                  <w:sz w:val="20"/>
                  <w:u w:val="single"/>
                </w:rPr>
                <w:t>78</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88">
              <w:r>
                <w:rPr>
                  <w:rStyle w:val="InternetLink"/>
                  <w:rFonts w:ascii="Times New Roman;sans-serif" w:hAnsi="Times New Roman;sans-serif"/>
                  <w:b w:val="false"/>
                  <w:strike w:val="false"/>
                  <w:dstrike w:val="false"/>
                  <w:color w:val="000000"/>
                  <w:sz w:val="20"/>
                  <w:u w:val="none"/>
                  <w:effect w:val="none"/>
                </w:rPr>
                <w:t>Item 9A.</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88">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88">
              <w:r>
                <w:rPr>
                  <w:rStyle w:val="InternetLink"/>
                  <w:rFonts w:ascii="Times New Roman;sans-serif" w:hAnsi="Times New Roman;sans-serif"/>
                  <w:b w:val="false"/>
                  <w:color w:val="0000FF"/>
                  <w:sz w:val="20"/>
                  <w:u w:val="single"/>
                </w:rPr>
                <w:t>78</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91">
              <w:r>
                <w:rPr>
                  <w:rStyle w:val="InternetLink"/>
                  <w:rFonts w:ascii="Times New Roman;sans-serif" w:hAnsi="Times New Roman;sans-serif"/>
                  <w:b w:val="false"/>
                  <w:strike w:val="false"/>
                  <w:dstrike w:val="false"/>
                  <w:color w:val="000000"/>
                  <w:sz w:val="20"/>
                  <w:u w:val="none"/>
                  <w:effect w:val="none"/>
                </w:rPr>
                <w:t>Item 9B.</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91">
              <w:r>
                <w:rPr>
                  <w:rStyle w:val="InternetLink"/>
                  <w:rFonts w:ascii="Times New Roman;sans-serif" w:hAnsi="Times New Roman;sans-serif"/>
                  <w:b w:val="false"/>
                  <w:strike w:val="false"/>
                  <w:dstrike w:val="false"/>
                  <w:color w:val="000000"/>
                  <w:sz w:val="20"/>
                  <w:u w:val="none"/>
                  <w:effect w:val="none"/>
                </w:rPr>
                <w:t>Other Information</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91">
              <w:r>
                <w:rPr>
                  <w:rStyle w:val="InternetLink"/>
                  <w:rFonts w:ascii="Times New Roman;sans-serif" w:hAnsi="Times New Roman;sans-serif"/>
                  <w:b w:val="false"/>
                  <w:color w:val="0000FF"/>
                  <w:sz w:val="20"/>
                  <w:u w:val="single"/>
                </w:rPr>
                <w:t>79</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91">
              <w:r>
                <w:rPr>
                  <w:rStyle w:val="InternetLink"/>
                  <w:rFonts w:ascii="Times New Roman;sans-serif" w:hAnsi="Times New Roman;sans-serif"/>
                  <w:b w:val="false"/>
                  <w:strike w:val="false"/>
                  <w:dstrike w:val="false"/>
                  <w:color w:val="000000"/>
                  <w:sz w:val="20"/>
                  <w:u w:val="none"/>
                  <w:effect w:val="none"/>
                </w:rPr>
                <w:t>Item 9C</w:t>
              </w:r>
            </w:hyperlink>
            <w:r>
              <w:rPr>
                <w:rFonts w:ascii="Times New Roman;sans-serif" w:hAnsi="Times New Roman;sans-serif"/>
                <w:b w:val="false"/>
                <w:color w:val="000000"/>
                <w:sz w:val="20"/>
              </w:rPr>
              <w:t>.</w:t>
            </w:r>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Regarding Foreign Jurisdictions That Prevent Inspections</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97">
              <w:r>
                <w:rPr>
                  <w:rStyle w:val="InternetLink"/>
                  <w:rFonts w:ascii="Times New Roman;sans-serif" w:hAnsi="Times New Roman;sans-serif"/>
                  <w:b w:val="false"/>
                  <w:color w:val="0000FF"/>
                  <w:sz w:val="20"/>
                  <w:u w:val="single"/>
                </w:rPr>
                <w:t>79</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00">
              <w:r>
                <w:rPr>
                  <w:rStyle w:val="InternetLink"/>
                  <w:rFonts w:ascii="Times New Roman;sans-serif" w:hAnsi="Times New Roman;sans-serif"/>
                  <w:b w:val="false"/>
                  <w:strike w:val="false"/>
                  <w:dstrike w:val="false"/>
                  <w:color w:val="000000"/>
                  <w:sz w:val="20"/>
                  <w:u w:val="none"/>
                  <w:effect w:val="none"/>
                </w:rPr>
                <w:t>PART III</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00">
              <w:r>
                <w:rPr>
                  <w:rStyle w:val="InternetLink"/>
                  <w:rFonts w:ascii="Times New Roman;sans-serif" w:hAnsi="Times New Roman;sans-serif"/>
                  <w:b w:val="false"/>
                  <w:color w:val="0000FF"/>
                  <w:sz w:val="20"/>
                  <w:u w:val="single"/>
                </w:rPr>
                <w:t>80</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03">
              <w:r>
                <w:rPr>
                  <w:rStyle w:val="InternetLink"/>
                  <w:rFonts w:ascii="Times New Roman;sans-serif" w:hAnsi="Times New Roman;sans-serif"/>
                  <w:b w:val="false"/>
                  <w:strike w:val="false"/>
                  <w:dstrike w:val="false"/>
                  <w:color w:val="000000"/>
                  <w:sz w:val="20"/>
                  <w:u w:val="none"/>
                  <w:effect w:val="none"/>
                </w:rPr>
                <w:t>Item 10.</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03">
              <w:r>
                <w:rPr>
                  <w:rStyle w:val="InternetLink"/>
                  <w:rFonts w:ascii="Times New Roman;sans-serif" w:hAnsi="Times New Roman;sans-serif"/>
                  <w:b w:val="false"/>
                  <w:strike w:val="false"/>
                  <w:dstrike w:val="false"/>
                  <w:color w:val="000000"/>
                  <w:sz w:val="20"/>
                  <w:u w:val="none"/>
                  <w:effect w:val="none"/>
                </w:rPr>
                <w:t>Directors, Executive Officers and Corporate Governance</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03">
              <w:r>
                <w:rPr>
                  <w:rStyle w:val="InternetLink"/>
                  <w:rFonts w:ascii="Times New Roman;sans-serif" w:hAnsi="Times New Roman;sans-serif"/>
                  <w:b w:val="false"/>
                  <w:color w:val="0000FF"/>
                  <w:sz w:val="20"/>
                  <w:u w:val="single"/>
                </w:rPr>
                <w:t>80</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06">
              <w:r>
                <w:rPr>
                  <w:rStyle w:val="InternetLink"/>
                  <w:rFonts w:ascii="Times New Roman;sans-serif" w:hAnsi="Times New Roman;sans-serif"/>
                  <w:b w:val="false"/>
                  <w:strike w:val="false"/>
                  <w:dstrike w:val="false"/>
                  <w:color w:val="000000"/>
                  <w:sz w:val="20"/>
                  <w:u w:val="none"/>
                  <w:effect w:val="none"/>
                </w:rPr>
                <w:t>Item 11.</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06">
              <w:r>
                <w:rPr>
                  <w:rStyle w:val="InternetLink"/>
                  <w:rFonts w:ascii="Times New Roman;sans-serif" w:hAnsi="Times New Roman;sans-serif"/>
                  <w:b w:val="false"/>
                  <w:strike w:val="false"/>
                  <w:dstrike w:val="false"/>
                  <w:color w:val="000000"/>
                  <w:sz w:val="20"/>
                  <w:u w:val="none"/>
                  <w:effect w:val="none"/>
                </w:rPr>
                <w:t>Executive Compensation</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06">
              <w:r>
                <w:rPr>
                  <w:rStyle w:val="InternetLink"/>
                  <w:rFonts w:ascii="Times New Roman;sans-serif" w:hAnsi="Times New Roman;sans-serif"/>
                  <w:b w:val="false"/>
                  <w:color w:val="0000FF"/>
                  <w:sz w:val="20"/>
                  <w:u w:val="single"/>
                </w:rPr>
                <w:t>80</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09">
              <w:r>
                <w:rPr>
                  <w:rStyle w:val="InternetLink"/>
                  <w:rFonts w:ascii="Times New Roman;sans-serif" w:hAnsi="Times New Roman;sans-serif"/>
                  <w:b w:val="false"/>
                  <w:strike w:val="false"/>
                  <w:dstrike w:val="false"/>
                  <w:color w:val="000000"/>
                  <w:sz w:val="20"/>
                  <w:u w:val="none"/>
                  <w:effect w:val="none"/>
                </w:rPr>
                <w:t>Item 12.</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09">
              <w:r>
                <w:rPr>
                  <w:rStyle w:val="InternetLink"/>
                  <w:rFonts w:ascii="Times New Roman;sans-serif" w:hAnsi="Times New Roman;sans-serif"/>
                  <w:b w:val="false"/>
                  <w:strike w:val="false"/>
                  <w:dstrike w:val="false"/>
                  <w:color w:val="000000"/>
                  <w:sz w:val="20"/>
                  <w:u w:val="none"/>
                  <w:effect w:val="none"/>
                </w:rPr>
                <w:t>Security Ownership of Certain Beneficial Owners and Management and Related Stockholder Matters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09">
              <w:r>
                <w:rPr>
                  <w:rStyle w:val="InternetLink"/>
                  <w:rFonts w:ascii="Times New Roman;sans-serif" w:hAnsi="Times New Roman;sans-serif"/>
                  <w:b w:val="false"/>
                  <w:color w:val="0000FF"/>
                  <w:sz w:val="20"/>
                  <w:u w:val="single"/>
                </w:rPr>
                <w:t>80</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12">
              <w:r>
                <w:rPr>
                  <w:rStyle w:val="InternetLink"/>
                  <w:rFonts w:ascii="Times New Roman;sans-serif" w:hAnsi="Times New Roman;sans-serif"/>
                  <w:b w:val="false"/>
                  <w:strike w:val="false"/>
                  <w:dstrike w:val="false"/>
                  <w:color w:val="000000"/>
                  <w:sz w:val="20"/>
                  <w:u w:val="none"/>
                  <w:effect w:val="none"/>
                </w:rPr>
                <w:t>Item 13.</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12">
              <w:r>
                <w:rPr>
                  <w:rStyle w:val="InternetLink"/>
                  <w:rFonts w:ascii="Times New Roman;sans-serif" w:hAnsi="Times New Roman;sans-serif"/>
                  <w:b w:val="false"/>
                  <w:strike w:val="false"/>
                  <w:dstrike w:val="false"/>
                  <w:color w:val="000000"/>
                  <w:sz w:val="20"/>
                  <w:u w:val="none"/>
                  <w:effect w:val="none"/>
                </w:rPr>
                <w:t>Certain Relationships and Related Transactions, and Director Independence</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12">
              <w:r>
                <w:rPr>
                  <w:rStyle w:val="InternetLink"/>
                  <w:rFonts w:ascii="Times New Roman;sans-serif" w:hAnsi="Times New Roman;sans-serif"/>
                  <w:b w:val="false"/>
                  <w:color w:val="0000FF"/>
                  <w:sz w:val="20"/>
                  <w:u w:val="single"/>
                </w:rPr>
                <w:t>80</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15">
              <w:r>
                <w:rPr>
                  <w:rStyle w:val="InternetLink"/>
                  <w:rFonts w:ascii="Times New Roman;sans-serif" w:hAnsi="Times New Roman;sans-serif"/>
                  <w:b w:val="false"/>
                  <w:strike w:val="false"/>
                  <w:dstrike w:val="false"/>
                  <w:color w:val="000000"/>
                  <w:sz w:val="20"/>
                  <w:u w:val="none"/>
                  <w:effect w:val="none"/>
                </w:rPr>
                <w:t>Item 14.</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15">
              <w:r>
                <w:rPr>
                  <w:rStyle w:val="InternetLink"/>
                  <w:rFonts w:ascii="Times New Roman;sans-serif" w:hAnsi="Times New Roman;sans-serif"/>
                  <w:b w:val="false"/>
                  <w:strike w:val="false"/>
                  <w:dstrike w:val="false"/>
                  <w:color w:val="000000"/>
                  <w:sz w:val="20"/>
                  <w:u w:val="none"/>
                  <w:effect w:val="none"/>
                </w:rPr>
                <w:t>Principal Accounting Fees and Services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15">
              <w:r>
                <w:rPr>
                  <w:rStyle w:val="InternetLink"/>
                  <w:rFonts w:ascii="Times New Roman;sans-serif" w:hAnsi="Times New Roman;sans-serif"/>
                  <w:b w:val="false"/>
                  <w:color w:val="0000FF"/>
                  <w:sz w:val="20"/>
                  <w:u w:val="single"/>
                </w:rPr>
                <w:t>80</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18">
              <w:r>
                <w:rPr>
                  <w:rStyle w:val="InternetLink"/>
                  <w:rFonts w:ascii="Times New Roman;sans-serif" w:hAnsi="Times New Roman;sans-serif"/>
                  <w:b w:val="false"/>
                  <w:strike w:val="false"/>
                  <w:dstrike w:val="false"/>
                  <w:color w:val="000000"/>
                  <w:sz w:val="20"/>
                  <w:u w:val="none"/>
                  <w:effect w:val="none"/>
                </w:rPr>
                <w:t>PART IV</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21">
              <w:r>
                <w:rPr>
                  <w:rStyle w:val="InternetLink"/>
                  <w:rFonts w:ascii="Times New Roman;sans-serif" w:hAnsi="Times New Roman;sans-serif"/>
                  <w:b w:val="false"/>
                  <w:color w:val="0000FF"/>
                  <w:sz w:val="20"/>
                  <w:u w:val="single"/>
                </w:rPr>
                <w:t>81</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21">
              <w:r>
                <w:rPr>
                  <w:rStyle w:val="InternetLink"/>
                  <w:rFonts w:ascii="Times New Roman;sans-serif" w:hAnsi="Times New Roman;sans-serif"/>
                  <w:b w:val="false"/>
                  <w:strike w:val="false"/>
                  <w:dstrike w:val="false"/>
                  <w:color w:val="000000"/>
                  <w:sz w:val="20"/>
                  <w:u w:val="none"/>
                  <w:effect w:val="none"/>
                </w:rPr>
                <w:t>Item 15.</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21">
              <w:r>
                <w:rPr>
                  <w:rStyle w:val="InternetLink"/>
                  <w:rFonts w:ascii="Times New Roman;sans-serif" w:hAnsi="Times New Roman;sans-serif"/>
                  <w:b w:val="false"/>
                  <w:strike w:val="false"/>
                  <w:dstrike w:val="false"/>
                  <w:color w:val="000000"/>
                  <w:sz w:val="20"/>
                  <w:u w:val="none"/>
                  <w:effect w:val="none"/>
                </w:rPr>
                <w:t>Exhibits, Financial Statement Schedules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21">
              <w:r>
                <w:rPr>
                  <w:rStyle w:val="InternetLink"/>
                  <w:rFonts w:ascii="Times New Roman;sans-serif" w:hAnsi="Times New Roman;sans-serif"/>
                  <w:b w:val="false"/>
                  <w:color w:val="0000FF"/>
                  <w:sz w:val="20"/>
                  <w:u w:val="single"/>
                </w:rPr>
                <w:t>81</w:t>
              </w:r>
            </w:hyperlink>
          </w:p>
        </w:tc>
      </w:tr>
    </w:tbl>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8650"/>
                <wp:effectExtent l="0" t="0" r="0" b="0"/>
                <wp:wrapNone/>
                <wp:docPr id="3"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GLOSSARY OF TERMS, ABBREVIATIONS AND ACRONYMS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following terms, abbreviations and acronyms are used to identify frequently used terms and phrases that may be used in this report: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2"/>
        <w:gridCol w:w="635"/>
        <w:gridCol w:w="616"/>
        <w:gridCol w:w="2440"/>
        <w:gridCol w:w="2396"/>
        <w:gridCol w:w="3396"/>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r>
      <w:tr>
        <w:trPr/>
        <w:tc>
          <w:tcPr>
            <w:tcW w:w="1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82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DEFINITION</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 Notes</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12.5% Senior Secured Notes due 2025</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13.5% Notes</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13.5% Senior Secured Notes</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ADHD</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Deficit Hyperactivity Disorder </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ALS</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Amyotrophic Lateral Sclerosis</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ANDA</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Abbreviated New Drug Application</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ANVISA</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Brazilian Health Regulatory Agency</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API</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Active Pharmaceutical Ingredients</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AQST</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symbol for Aquestive Therapeutics, Inc.</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ARO</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Assertio</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Assertio Holdings, Inc.</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Assertio Agreement</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Agreement between Aquestive and Otter Pharmaceuticals, LLC, a subsidiary of Assertio Holdings, </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Updates</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ATM</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At-The-Market facility for the purchase of AQST Common Stock</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Indenture</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Indenture for the 12.5% Notes</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BBA</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Bipartisan Budget Act of 2018</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BDSI</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BioDelivery Sciences International, Inc.</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cGMP</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Good Manufacturing Practices</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CMS</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Centers for Medicare &amp; Medicaid Services</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CNS</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Central Nervous System</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par value $0.001 per share, of the Company </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Warrants issued with private placement of up to $100,000 aggregate principal of 12.5% Notes originally due 2025</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Cosmed</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CosMed Industria De Cosmeticos E Medicamentos S.A</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COSO</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Committee of Sponsoring Organization of the Treadway Commission</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CRL</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Complete Response Letter (FDA)</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research organizations</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Drug Enforcement Agency</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DSCSA</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Drug Supply Chain Security Act</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EBIT</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and taxes</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EMA</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Medicines Agency</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EoP2</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End-of-Phase 2</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EPS</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ERTC</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Retention Tax Credit</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Warrants</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Purchase Warrants with the holder of the remaining 5,000,000 warrants</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Food and Drug Administration</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FDAAA</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Food and Drug Administration Amendments Act of 2007</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FDCA</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Food, Drug, and Cosmetic Act</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FDIC</w:t>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Deposit Insurance Corporation</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FDII</w:t>
            </w:r>
          </w:p>
        </w:tc>
        <w:tc>
          <w:tcPr>
            <w:tcW w:w="8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Derived Intangible Income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8650"/>
                <wp:effectExtent l="0" t="0" r="0" b="0"/>
                <wp:wrapNone/>
                <wp:docPr id="4"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81"/>
        <w:gridCol w:w="745"/>
        <w:gridCol w:w="747"/>
        <w:gridCol w:w="2427"/>
        <w:gridCol w:w="2238"/>
        <w:gridCol w:w="3167"/>
      </w:tblGrid>
      <w:tr>
        <w:trPr/>
        <w:tc>
          <w:tcPr>
            <w:tcW w:w="88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amendment to the Sunovion License Agreement</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Fortovia</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Fortovia Therapeutics Inc. (previously Midatech Pharma PLC</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FQHC</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Federally Qualified Health Center</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Accepted Accounting Principles </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GLP</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 Laboratory Practice</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Haisco</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Haisco Pharmaceutical Group Co., Ltd.</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Haisco Agreement</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License, Development and Supply Agreement with Haisco, a Chinese limited company listed on the Shenzhen Stock Exchange</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HHS</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Department of Health and Human Services</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HIPAA</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Health Insurance Portability and Accountability Act of 1996</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HITECH</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Information Technology for Economic and Clinical Health Act</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Investigational New Drug Application</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Agreement</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governing the 13.5% Senior Secured Notes</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 Inc. (formerly, Reckitt Benckiser Pharmaceuticals Inc)</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 Amendment 11</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11 to the Indivior License Agreement</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Indivior License Agreement</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Exploitation Agreement with Reckitt Benckiser Pharmaceuticals, Inc. (with subsequent amendments collectively)</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IRB</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Institutional Review Board</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Lincoln Park</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Lincoln Park Capital Fund, LLC</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Lincoln Park Purchase Agreement</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 Agreement with Lincoln Park Capital Fund, LLC</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Marathon</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Marathon Asset Management</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Monetization Agreement</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and Sale Agreement between Aquestive and Sunovion </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MSSP</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Managed Security Services Provider </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MTHA</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Mitsubishi Tanabe Pharma Holdings America, Inc.</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Meaningful, used in percentage changes</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NDA</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Drug Application</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Warrants</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to purchase 2,750,000 shares of Common Stock </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NIH</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National Institutes of Health</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ODE</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Orphan Drug Exclusivity</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PD</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Pharmacodynamics</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PDMA</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U.S. Prescription Drug Marketing Act</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PDUFA</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Prescription Drug User Fee Act</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Pharmanovia</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Atnahs Pharma UK Limited, a company registered in England and Wales</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Pharmanovia Agreement</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License and Supply Agreement with Atnahs Pharma UK Limited,</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Pharmanovia Amendment</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Amended License and Supply Agreement with Atnahs Pharma UK Limited as of March 27, 2023</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PK</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Pharmacokinetic</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PPACA</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Patient Protection and Affordable Care Act, as amended by the Health Care and Education Reconciliation Act of 2010</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PTO</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Patent and Trademark Office</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REMS</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Risk Evaluation and Mitigation Strategy</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Royalty Rights Agreements</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Rights Agreements</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Rights Agreements, component of 13.5% Senior Secured Notes</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Purchase Agreements</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Purchase Agreements with certain purchasers entered into on June 6,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8650"/>
                <wp:effectExtent l="0" t="0" r="0" b="0"/>
                <wp:wrapNone/>
                <wp:docPr id="5"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87"/>
        <w:gridCol w:w="604"/>
        <w:gridCol w:w="607"/>
        <w:gridCol w:w="2610"/>
        <w:gridCol w:w="2352"/>
        <w:gridCol w:w="3345"/>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w:t>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Separation Agreement, including a Consulting Agreement with Keith J. Kendall</w:t>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Sunovion</w:t>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Sunovion Pharmaceuticals Inc</w:t>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Sunovion License Agreement</w:t>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KYNMOBI Commercialization Agreement</w:t>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Territory</w:t>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countries of the European Union, the United Kingdom, Switzerland, Norway and the Middle East and North Africa under the Pharmanovia Agreement</w:t>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TGA</w:t>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Australian Government Department of Health’s Therapeutics Goods Administration</w:t>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Zambon</w:t>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Zambon S.p.A.</w:t>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Zevra</w:t>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Zevra Therapeutics, Inc. (formerly KemPharm, Inc.)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8650"/>
                <wp:effectExtent l="0" t="0" r="0" b="0"/>
                <wp:wrapNone/>
                <wp:docPr id="6"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23e0667a4154926b1bf13232aa8c5e4_10">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but are not limited to, statements regarding the advancement and related timing of our product candidate Anaphylm™ (epinephrine) Sublingual Film through clinical development and approval by the FDA, including the timing of submission of supporting and pediatric clinical studies, and filing of the NDA for Anaphylm with the FDA, and the following launch of Anaphylm, if approved by the FDA; the results of the Company’s clinical studies for Anaphylm and the ability of such results to support submission of the NDA for approval of Anaphylm to the FDA; Anaphylm's potential to be the first and only oral administration of epinephrine and to be accepted as an alternative to existing standards of care, if approved by the FDA; the expected growth of the U.S. epinephrine market including in value and the opportunity such growth presents to the Company should Anaphylm be approved by the FDA; the advancement, growth and related timing of our Adrenaverse™ pipeline epinephrine prodrug product candidates, including AQST-108 (epinephrine) Topical Gel, through clinical development and FDA regulatory approval process, including design and timing of clinical studies including those necessary to support the targeted indication of alopecia areata for AQST-108 and the following launch of AQST-108, if approved by the FDA; the potential sale or outlicensing of Anaphylm, Libervant or other product candidates; the advancement and related timing of our product candidate Libervant® (diazepam) Buccal Film for the indicated epilepsy patient population aged between 6 and 11 years through clinical development and FDA regulatory approval and the following launch of Libervant for this patient population if approved by the FDA; the approval for U.S. market access of Libervant for the epilepsy patient population aged 6 years and older and overcoming the orphan drug market exclusivity of an FDA approved nasal spray product of another company extending to January 2027 for these patients; the commercial opportunity of Libervant, Anaphylm, AQST-108 and our other product candidates, including potential revenues (including projected peak annual sales) generated from commercialization of these products, should these product candidates be approved by the FDA; the focus on continuing to manufacture Suboxone®, Emylif®, Sympazan®, Ondif® and other licensed products; the potential growth of our patent portfolio including the extension of patent protection for Anaphylm should the pending patents be approved by the U.S. Patent and Trademark Office (PTO); the potential benefits our products and product candidates could bring to patients; the achievement of clinical and commercial milestones, product orders and fulfillment; our cash requirements, cash funding and cash burn; short-term and longer term liquidity and the ability to fund our business operations; our growth and future financial and operating results and financial position, including with respect to our 2025 financial outlook; and business strategies, market opportunities, and other statements that are not historical facts.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Anaphylm (including for pediatric patients), AQST-108, and our other product candidates; risks associated with our distribution work for Libervant, including any delays or changes to the timing, cost and success of our distribution activities and expansion of market access to patients aged two to five for Libervant; risk of delays in advancement of the regulatory approval process through the FDA of our product candidates, including the filing of the respective NDAs, for Anaphylm, AQST-108, Libervant for patients aged between 6 and 11 and other product candidates, or failure to receive FDA approval at all of any of these product candidates; risk of the Company’s ability to generate sufficient clinical data for approval of our product candidates, including with respect to our PK/PD comparability submission for FDA approval of Anaphylm; risks associated our ability to address the FDA’s comments on our future clinical trials and other concerns identified in the FDA Type C meeting minutes for Anaphylm, including the risk that the FDA may require additional clinical studies for approval of Anaphylm; associated with the success of any competing products, including generics; risk that we may not overcome the seven year orphan drug market exclusivity granted by the FDA for the approved nasal spray product of another company in the U.S. in order for Libervant to be granted U.S. market access for patients aged 6 years and older prior to expiration of the orphan drug market exclusivity period of the nasal spray product, which due to occur in January 2027; risk of loss of U.S. market approval of Libervant for patients aged between two to five resulting from a legal challenge relating to U.S. orphan drug market exclusivity by the owner of the approved nasal spray product with respect to the FDA’s approval for U.S. market access of Libervant for this pediatric patient population, or for other reasons; risks and uncertainties inherent in commercializing a new product (including technology risks, financial risks, market risks and implementation risks and regulatory limitations); risk of development of a sales and marketing capability for commercialization of our product Libervant and other product candidates, including Anaphylm and AQST-108; risks associated with the potential impact on the value of the Company of the sale or outlicensing of our product and product candidates, including Libervant and Anaphylm and other product candidates; risk of insufficient capital and cash resources, including insufficient access to available debt and equity financing, including under our ATM facility, and revenues from operations, to satisfy all of our short-term and longer-term liquidity and cash requirements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6705"/>
                <wp:effectExtent l="0" t="0" r="0" b="0"/>
                <wp:wrapNone/>
                <wp:docPr id="7" name="Frame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923e0667a4154926b1bf13232aa8c5e4_10">
        <w:r>
          <w:rPr>
            <w:rStyle w:val="InternetLink"/>
            <w:rFonts w:ascii="Times New Roman;sans-serif" w:hAnsi="Times New Roman;sans-serif"/>
            <w:b w:val="false"/>
            <w:i/>
            <w:color w:val="0000FF"/>
            <w:sz w:val="16"/>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cash needs, at the times and in the amounts needed, including to fund commercialization activities relating to Libervant for patients between two to five years of age and to fund future clinical development and commercial activities for our product candidates, including Anaphylm, AQST-108 and Libervant for patients aged between 6 and 11, should these product candidates be approved by the FDA, and for Libervant patients of 6 years and older upon expiration of the orphan drug marketing exclusivity period of the nasal spray product; risk that our manufacturing capabilities will be insufficient to support demand for Libervant for patients between two to five years of age and for older patients, should Libervant receive U.S. market access for these older patients, and for demand for our licensed products in the U.S. and abroad; risk of eroding market share for Suboxone® as a sunsetting product, which accounts for a substantial part of our current operating revenue; risk of default of our debt instruments; risks related to the outsourcing of certain sales, marketing and other operational and staff functions to third parties; risks associated with the rate and degree of market acceptance in the U.S. and abroad of Libervant for epilepsy patients between two to five years of age, and for older epilepsy patients if approved for U.S. market access and after the expiration of the orphan drug market exclusivity period in January 2027; risk of the rate and degree of market acceptance in the U.S. and abroad of Libervant, Anaphylm, AQST-108 and our other product candidates, should these product candidates be approved by the FDA, and for our licensed products in the U.S. and abroad; risk associated with the size and growth of our product markets; risk associated with our compliance with all FDA and other governmental and customer requirements for our manufacturing facilities; risks associated with intellectual property rights and infringement claims relating to our products; risk that our patent applications for our product candidates, including for Anaphylm, will not be timely issued, or issued at all, by the PTO; risk of unexpected patent developments; risk of legislation and regulatory actions and changes in laws or regulations affecting our business including relating to our products and product candidates and product pricing, reimbursement or access therefor; risk of loss of significant customers; risks related to claims and legal proceedings against us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cybersecurity attacks; risk of increased cybersecurity attacks and data accessibility disruptions due to remote working arrangements; risk of adverse developments affecting the financial services industry; risks related to inflation and changing interest rates; risks related to the impact of other pandemic diseases, such as COVID-19 on our business, including with respect to our clinical trials and the site initiation, patient enrollment and timing and adequacy of those clinical trials, regulatory submissions and regulatory reviews and approvals of our product candidates, availability of pharmaceutical ingredients and other raw materials used in our products and product candidates, supply chain, manufacture and distribution of our products and product candidates; risks and uncertainties related to general economic, political (including the Ukraine and Israel wars and other acts of war and terrorism), business, industry, regulatory, financial and market conditions and other unusual items; risks related to uncertainty about presidential administration initiatives and their impact on our business; and other uncertainties affecting us including those described in the "Risk Factors" section and in other sections included in this Annual Report on Form 10-K, in our Quarterly Reports on Form 10-Q, and in our Current Reports on Form 8-K filed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Annual Report on Form 10-K, whether as a result of new information, future events or otherwise, except as may be required by applicable law. Readers should not rely on the forward-looking statements included in this Annual Report on Form 10-K as representing our views as of any date after the date of the filing of this Annual Report on Form 10-K. </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Part I-Item 1A. Risk Factors of this Form 10-K.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requires otherwise, references in this Annual Report on Form 10-K to “Aquestive,” the "Company,” “we,” “us,” and “our” refer to Aquestive Therapeutics,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6705"/>
                <wp:effectExtent l="0" t="0" r="0" b="0"/>
                <wp:wrapNone/>
                <wp:docPr id="8" name="Frame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Business Overview</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Aquestive is a pharmaceutical company advancing medicines to bring meaningful improvement to patients’ lives through innovative science and delivery technologies. We are developing pharmaceutical products to deliver complex molecules through alternative administrations to invasive and inconvenient standard of care therapies. We have a proprietary commercial product, Libervant® (diazepam) Buccal Film for the acute treatment of intermittent, stereotypic episodes of frequent seizure activity (i.e., seizure clusters, acute repetitive seizures) that are distinct from a patient’s usual seizure pattern in patients with epilepsy between two to five years of age, which was launched in April 2024. We are also advancing a product pipeline for the treatment of severe allergic reactions, including anaphylaxis, under the trade name "Anaphylm™", and our Adrenaverse epinephrine prodrug pipeline platform. We have five licensed commercialized products which are marketed by our licensees in the U.S. and around the world. We are the exclusive manufacturer of these licensed products. We also collaborate with pharmaceutical companies to bring new molecules to market using proprietary, best-in-class technologies, like PharmFilm®, and have proven drug development and commercialization capabilities. Our production facilities are located in Portage, Indiana, and our corporate headquarters and primary research laboratory facilities are based in Warren, New Jersey.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licensed products at our facilities and anticipate that our current manufacturing capacity is sufficient for commercial quantities of our proprietary and licensed products and product candidates currently in development. Our facilities have been inspected by the FDA, TGA, and DEA and are subject to inspection by all applicable health agencies, including ANVISA and EMA.</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PharmFilm – Our Oral Film Technology</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We are presently </w:t>
      </w:r>
      <w:r>
        <w:rPr>
          <w:rFonts w:ascii="Times New Roman;sans-serif" w:hAnsi="Times New Roman;sans-serif"/>
          <w:b w:val="false"/>
          <w:color w:val="000000"/>
          <w:sz w:val="20"/>
          <w:shd w:fill="FFFFFF" w:val="clear"/>
        </w:rPr>
        <w:t xml:space="preserve">the worldwide leader </w:t>
      </w:r>
      <w:r>
        <w:rPr>
          <w:rFonts w:ascii="Times New Roman;sans-serif" w:hAnsi="Times New Roman;sans-serif"/>
          <w:b w:val="false"/>
          <w:color w:val="000000"/>
          <w:sz w:val="20"/>
        </w:rPr>
        <w:t>in oral film drug delivery and manufacturing, having historically supplied the substantial majority of the world’s oral films for prescription pharmaceutical use, and we have the capability to produce more than one billion commercial doses a year. We developed our PharmFilm technology to provide meaningful clinical and therapeutic advantages over other existing dosage forms and, in turn, to improve the lives of patients and caregivers. PharmFilm is protected by our patent portfolio, which currently includes at least 110 issued patents worldwide, of which at least 28 are U.S. patents, and more than 150 pending patent applications worldwide. Several of the patents in this intellectual property portfolio are utilized in each of our proprietary pipeline products and certain of these patent and patent application cover non-film applications (topical). We are continuing to develop additional intellectual property and know-how related to the applications and engineering of PharmFilm alone or in combination with other technologies to create product capabilities that have compelling value propositions.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PharmFilm is comprised of proprietary polymer compositions that serve as film formers to APIs and excipients in place. Proprietary and patent-protected compositions, formulations and manufacturing techniques and technology are employed to ensure that the API is distributed uniformly throughout the film and that target absorption levels are achieved. Our proprietary technology and manufacturing processes enable PharmFilm to be engineered to fit a variety of target product profiles in order to best address unmet patient needs present within specific disease states. PharmFilm, which is similar in thickness and size to a postage stamp, can be administered via buccal, sublingual or lingual oral delivery.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6705"/>
                <wp:effectExtent l="0" t="0" r="0" b="0"/>
                <wp:wrapNone/>
                <wp:docPr id="9" name="Frame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before="0" w:after="120"/>
        <w:ind w:left="0" w:right="0" w:firstLine="720"/>
        <w:jc w:val="both"/>
        <w:rPr/>
      </w:pPr>
      <w:r>
        <w:rPr/>
        <w:drawing>
          <wp:inline distT="0" distB="0" distL="0" distR="0">
            <wp:extent cx="5238750" cy="381000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5238750" cy="3810000"/>
                    </a:xfrm>
                    <a:prstGeom prst="rect">
                      <a:avLst/>
                    </a:prstGeom>
                  </pic:spPr>
                </pic:pic>
              </a:graphicData>
            </a:graphic>
          </wp:inline>
        </w:drawing>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innovative nature of our drug delivery platform has the potential to offer a number of meaningful advantages to patients, caregivers and physicians compared to current standard of care therapies,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faster, or at least equivalent, onset of action;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ease of administration and availability (no device required);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direct absorption into the bloodstream reducing or avoiding “first pass” effects in the liver;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reduced gastrointestinal, or GI, side effects;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positive dosing outcomes, especially for patients with physical (</w:t>
      </w:r>
      <w:r>
        <w:rPr>
          <w:rFonts w:ascii="Times New Roman;sans-serif" w:hAnsi="Times New Roman;sans-serif"/>
          <w:b w:val="false"/>
          <w:i/>
          <w:color w:val="000000"/>
          <w:sz w:val="20"/>
        </w:rPr>
        <w:t>e.g.</w:t>
      </w:r>
      <w:r>
        <w:rPr>
          <w:rFonts w:ascii="Times New Roman;sans-serif" w:hAnsi="Times New Roman;sans-serif"/>
          <w:b w:val="false"/>
          <w:color w:val="000000"/>
          <w:sz w:val="20"/>
        </w:rPr>
        <w:t>, dysphagia) or psychological barriers to other methods of drug administration;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stable, durable, portable and quick dissolving (with or without water);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customizable delivery routes for tailored PK, profiles (buccal, sublingual or lingual);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customizable taste profiles.</w:t>
      </w:r>
    </w:p>
    <w:p>
      <w:pPr>
        <w:pStyle w:val="TextBody"/>
        <w:bidi w:val="0"/>
        <w:spacing w:lineRule="auto" w:line="288" w:before="0" w:after="120"/>
        <w:jc w:val="left"/>
        <w:rPr/>
      </w:pPr>
      <w:r>
        <w:rPr>
          <w:rFonts w:ascii="Times New Roman;sans-serif" w:hAnsi="Times New Roman;sans-serif"/>
          <w:b w:val="false"/>
          <w:color w:val="000000"/>
          <w:sz w:val="20"/>
        </w:rPr>
        <w:t>A</w:t>
      </w:r>
      <w:r>
        <w:rPr>
          <w:rFonts w:ascii="Times New Roman;sans-serif" w:hAnsi="Times New Roman;sans-serif"/>
          <w:b/>
          <w:color w:val="000000"/>
          <w:sz w:val="20"/>
        </w:rPr>
        <w:t>drenaverse</w:t>
      </w:r>
      <w:r>
        <w:rPr>
          <w:color w:val="000000"/>
        </w:rPr>
        <w:t xml:space="preserve">™ – </w:t>
      </w:r>
      <w:r>
        <w:rPr>
          <w:rFonts w:ascii="Times New Roman;sans-serif" w:hAnsi="Times New Roman;sans-serif"/>
          <w:b/>
          <w:color w:val="000000"/>
          <w:sz w:val="20"/>
        </w:rPr>
        <w:t>Our Epinephrine Prodrug Technology</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Adrenaverse™ platform contains a library of over twenty epinephrine prodrug product candidates intended to control absorption and conversion rates across a variety of possible dosage forms and delivery sites. Epinephrine plays a critical role in immune suppression but, until now, its role has been limited due to issues in the absorption and conversion of epinephrine in the human body. We believe that our Adrenaverse platform has demonstrated the ability to harness the therapeutic potential of epinephrine through highly differentiated prodrug formulations, which can achieve absorption, provide sustained local exposure and avoid systemic exposure. The Adrenaverse platform makes it possible to deliver epinephrine locally across mucosal surfaces and the skin and, therefore, we believe that it has the potential to yield multiple product candidates focused on treating a range of diseases. The Company’s pipeline includes Anaphylm™ (epinephrine) Sublingual Film and AQST-108 (epinephrine) Topical Gel, which are both product candidates emerging from the Company’s Adrenaverse epinephrine prodrug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6705"/>
                <wp:effectExtent l="0" t="0" r="0" b="0"/>
                <wp:wrapNone/>
                <wp:docPr id="11" name="Frame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Product Portfolio and Pipeline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outlines our proprietary growth drivers and licensed products.</w:t>
      </w:r>
    </w:p>
    <w:p>
      <w:pPr>
        <w:pStyle w:val="TextBody"/>
        <w:bidi w:val="0"/>
        <w:spacing w:before="0" w:after="120"/>
        <w:ind w:left="0" w:right="0" w:firstLine="720"/>
        <w:jc w:val="left"/>
        <w:rPr/>
      </w:pPr>
      <w:r>
        <w:rPr/>
        <w:drawing>
          <wp:inline distT="0" distB="0" distL="0" distR="0">
            <wp:extent cx="6562725" cy="320040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6562725" cy="3200400"/>
                    </a:xfrm>
                    <a:prstGeom prst="rect">
                      <a:avLst/>
                    </a:prstGeom>
                  </pic:spPr>
                </pic:pic>
              </a:graphicData>
            </a:graphic>
          </wp:inline>
        </w:drawing>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Libervant</w:t>
      </w:r>
      <w:r>
        <w:rPr>
          <w:rFonts w:ascii="Times New Roman;sans-serif" w:hAnsi="Times New Roman;sans-serif"/>
          <w:b w:val="false"/>
          <w:color w:val="000000"/>
          <w:sz w:val="13"/>
        </w:rPr>
        <w:t>®</w:t>
      </w:r>
      <w:r>
        <w:rPr>
          <w:rFonts w:ascii="Times New Roman;sans-serif" w:hAnsi="Times New Roman;sans-serif"/>
          <w:b w:val="false"/>
          <w:color w:val="000000"/>
          <w:sz w:val="20"/>
        </w:rPr>
        <w:t>, Sympazan</w:t>
      </w:r>
      <w:r>
        <w:rPr>
          <w:rFonts w:ascii="Times New Roman;sans-serif" w:hAnsi="Times New Roman;sans-serif"/>
          <w:b w:val="false"/>
          <w:color w:val="000000"/>
          <w:sz w:val="13"/>
        </w:rPr>
        <w:t>®</w:t>
      </w:r>
      <w:r>
        <w:rPr>
          <w:rFonts w:ascii="Times New Roman;sans-serif" w:hAnsi="Times New Roman;sans-serif"/>
          <w:b w:val="false"/>
          <w:color w:val="000000"/>
          <w:sz w:val="20"/>
        </w:rPr>
        <w:t>, PharmFilm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the Aquestive logo are registered trademarks of Aquestive Therapeutics, Inc. All other registered trademarks referenced herein are the property of their respective owners.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Proprietary Growth Drivers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Complex Molecule Portfolio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Anaphylm</w:t>
      </w:r>
      <w:r>
        <w:rPr>
          <w:color w:val="000000"/>
        </w:rPr>
        <w:t xml:space="preserve"> </w:t>
      </w:r>
      <w:r>
        <w:rPr>
          <w:rFonts w:ascii="Times New Roman;sans-serif" w:hAnsi="Times New Roman;sans-serif"/>
          <w:b w:val="false"/>
          <w:color w:val="000000"/>
          <w:sz w:val="20"/>
        </w:rPr>
        <w:t>(epinephrine) Sublingual Film – the first and only non-device based, orally delivered epinephrine product candidate in development that has shown clinical results comparable to auto-injectors (such as EpiPen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Auvi-Q</w:t>
      </w:r>
      <w:r>
        <w:rPr>
          <w:rFonts w:ascii="Times New Roman;sans-serif" w:hAnsi="Times New Roman;sans-serif"/>
          <w:b w:val="false"/>
          <w:color w:val="000000"/>
          <w:sz w:val="13"/>
        </w:rPr>
        <w:t>®</w:t>
      </w:r>
      <w:r>
        <w:rPr>
          <w:rFonts w:ascii="Times New Roman;sans-serif" w:hAnsi="Times New Roman;sans-serif"/>
          <w:b w:val="false"/>
          <w:color w:val="000000"/>
          <w:sz w:val="20"/>
        </w:rPr>
        <w:t>) for the emergency treatment of allergic reactions, including anaphylaxis. Epinephrine is the standard of care in the treatment of anaphylaxis and is typically administered via intramuscular injection (IM), including manual auto-injectors such as EpiPen and Auvi-Q, which require patients or their caregivers to inject epinephrine into the patient’s thigh during an emergency allergic reaction. As a result of this route of administration, many patients and their caregivers are reluctant to use injectable products. In August 2024, a nasal spray device was approved by the FDA for the treatment of severe allergic reactions, including anaphylaxis. However, Anaphylm would, if approved by the FDA, allow a patient to simply place a dissolvable strip, approximately the size and weight of a postage stamp, under the tongue, providing an appropriate medication where it is needed and when it is needed.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FDA conditionally accepted the proprietary name Anaphylm™ (pronounced “ana-film”) as the proposed brand name for Anaphylm. Final approval of the Anaphylm proprietary name is conditioned on FDA approval of Anaphylm, if any.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2022, following a Phase 1 clinical study conducted by the Company outside of the U.S., the FDA cleared our IND for Anaphylm, allowing for clinical investigation of Anaphylm in the U.S. The FDA confirmed that the 505(b)(2) regulatory approval pathway is acceptable for the development of Anaphylm. The FDA granted Fast Track designation of Anaphylm in March 2022.</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2022 and 2023, we reported positive topline data from several clinical studies evaluating multiple oral film formulations and dosage strengths of Anaphylm in healthy adult subjects, including cross over studies comparing the PK and PD of epinephrine delivered via Anaphylm compared to current standards of care, EpiPen and IM injectors. These studies demonstrated that treatment with Anaphylm was well tolerated, with no serious adverse events, significant medical events, or treatment-related severe adverse events reported. The data from these clinical studies formed the basis for the EoP2 meeting with the FDA in December of 2022, which provided clarity as to the FDA’s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6705"/>
                <wp:effectExtent l="0" t="0" r="0" b="0"/>
                <wp:wrapNone/>
                <wp:docPr id="13" name="Frame1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expectations regarding key clinical program areas for design of revised dosing instructions expected for use in our pivotal clinical trial.</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we received comments from the FDA on the protocol for our pivotal clinical study for Anaphylm, which comments indicated that our proposed endpoints, sample size, and statistical analysis for the proposed pivotal clinical study were reasonable and provided clarity on PK sustainability with repeat-dose requirements. We incorporated the FDA’s feedback into the pivotal clinical study design, which study commenced in in the fourth quarter of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we completed a Type C meeting with the FDA in which the FDA found that we had adequately addressed the FDA’s previous concerns noted in the EoP2 meeting, including addressing (1) the impact of any product hold time, (2) the potential for emesis (vomiting), and (3) the impact of potential mouth conditions such as angioedema (swelling), by removing product hold time from the administration instructions and providing additional information on how to characterize emesis in our NDA submission with the FDA. Regarding mouth conditions, the FDA recommended administering Anaphylm after oral exposure to a known allergen and assessing PK performance thereunder. This study replaced our previously planned angioedema study. In those comments, the FDA did not outline any new clinical development requirements for the Anaphylm program. The FDA reserved judgement on the sufficiency of the Anaphylm clinical development program until completion of ongoing and planned studies, the results of which were presented at a pre-NDA interaction with the FDA on November 22, 2024.</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val="false"/>
          <w:color w:val="000000"/>
          <w:sz w:val="20"/>
        </w:rPr>
        <w:t>In March 2024, we released topline data from our pivotal clinical study for Anaphylm. The two-part, Phase 3, single-center, open-label, randomized study was designed to compare the PK and PD of single and repeat doses of Anaphylm versus single and repeat doses of the IM injection and epinephrine autoinjectors (EpiPen® and Auvi-Q®) in healthy adult subjects. The results of this study demonstrated that the primary endpoint of epinephrine PK biocomparability of the single administration of Anaphylm to the single administration of Adrenalin (epinephrine IM injection) and epinephrine autoinjectors in healthy adult subjects was met, as well as the secondary endpoints, which included evaluating the PK sustainability of Anaphylm following repeat administration and the safety and tolerability of Anaphylm following single and repeat administrations versus epinephrine IM injection and epinephrine autoinjectors.</w:t>
      </w:r>
      <w:r>
        <w:rPr>
          <w:color w:val="000000"/>
        </w:rPr>
        <w:t xml:space="preserve"> </w:t>
      </w:r>
    </w:p>
    <w:p>
      <w:pPr>
        <w:pStyle w:val="TextBody"/>
        <w:bidi w:val="0"/>
        <w:spacing w:lineRule="auto" w:line="288" w:before="0" w:after="120"/>
        <w:jc w:val="both"/>
        <w:rPr/>
      </w:pPr>
      <w:r>
        <w:rPr>
          <w:rFonts w:ascii="Times New Roman;sans-serif" w:hAnsi="Times New Roman;sans-serif"/>
          <w:b w:val="false"/>
          <w:color w:val="000000"/>
          <w:sz w:val="22"/>
        </w:rPr>
        <w:t>I</w:t>
      </w:r>
      <w:r>
        <w:rPr>
          <w:rFonts w:ascii="Times New Roman;sans-serif" w:hAnsi="Times New Roman;sans-serif"/>
          <w:b w:val="false"/>
          <w:color w:val="000000"/>
          <w:sz w:val="20"/>
        </w:rPr>
        <w:t>n June 2024, we reported positive topline PK data from the Company's temperature / pH study of Anaphylm. The single-dose, five-period, randomized crossover study was designed to compare the PK and PD of Anaphylm just after consuming normal water at different temperatures (hot, cold, and room temperature) as well as water of different pHs (acidic- lemon water, and basic- baking soda water). The most consumed beverages, such as soda, milk, coffee, and juice, have acidity between lemon water and normal water. The primary PK parameters were the maximum amount of epinephrine measured in plasma (Cmax) and exposure, or the area under the curve (AUC), at predefined time points after dosing, in 30 healthy adult subjects. Topline PK and PD data from the study showed no statistically significant difference in PK and PD results between the different groups based on temperature and pH variability in the mouth.</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2024, we reported positive topline data from the self-administration PK study of Anaphylm. The single-dose, three-period, randomized crossover study was designed to compare the PK and PD of Anaphylm self-administered, Anaphylm healthcare provider (HCP)-administered, and Adrenalin IM injection HCP- administered. The primary PK parameters were the Cmax and the AUC exposures, at predefined time points after dosing in 36 healthy adult subjects. The median time to maximum concentration (Tmax) was 15 minutes for both the Anaphylm self-administered and HCP-administered arms, while the median Tmax for the Adrenalin IM injection HCP-administered arm was 50 minutes post-administration. Also, there was no statistical difference between the Anaphylm self-administered and HCP- administered arms of the study based on a comparison of epinephrine exposures across the first 60 minutes post-administration. Topline PD data from the study showed no difference in the median increase in systolic blood pressure, diastolic blood pressure, and heart rate whether Anaphylm was self-administered or HCP-administered.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2024, we reported positive topline data from an oral allergy syndrome challenge study (now referred to as the "OASIS" study), meeting both primary and secondary endpoints. The two-part study demonstrated that Anaphylm's PK and PD profile during allergen-induced oral physiological changes was consistent with its profile without an allergen challenge. In addition, following allergen exposure where 94% of subjects exhibited moderate to severe symptoms per the predefined oral severity score, rapid symptom resolution was observed beginning as early as 2 minutes post-administration. The median time to complete symptom resolution was 12 minutes compared to 74 minutes at screening baseline, with 50% of all symptoms across all subjects resolving by 5 minutes. The mean time of symptom resolution for edema, which affected approximately 25% of subjects, was 5 minutes after Anaphylm administration. The PK profile remained consistent, with median Tmax maintained at 12 minutes and comparable Cmax values between allergen-exposed and non-exposed cohorts. The safety profile was favorable, with all adverse events classified as mild to moderate and resolving without medical intervention.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6705"/>
                <wp:effectExtent l="0" t="0" r="0" b="0"/>
                <wp:wrapNone/>
                <wp:docPr id="14" name="Frame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Also in October 2024, at the ACAAI 2024 Annual Meeting in Boston, we presented results from a subsequent analysis of our pivotal study data demonstrating Anaphylm's consistent PK and PD profile regardless of variable placement or intraoral movement. The analysis showed that 87.5% of subjects maintained consistent film placement during disintegration. In the 12.5% of subjects where movement was noted, there were no significant differences in Cmax and Tmax. These findings further demonstrate that initial placement or subsequent movement of the sublingual film had no impact on epinephrine PK or PD comparability to epinephrine autoinjectors.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2024, we received positive pre-NDA written response feedback from the FDA prior to our planned NDA submission in the first quarter of 2025. The FDA did not indicate in those responses that any additional adult clinical trials would be necessary for submitting the NDA for Anaphylm. In addition, the FDA agreed with our planned NDA content and format for the submission, planned safety evaluation, and planned pediatric trial. The FDA also provided further guidance on additional data views to be included in the planned NDA submission and continued to emphasize its focus on PK sustainability for a single dose. In addition, the FDA requested minor modifications to the pediatric trial protocol which requested modifications were incorporated in the final pediatric trial protocol. Finally, the FDA noted that due to the new route of administration and the data supporting this route of administration, an advisory committee meeting may be necessary prior to FDA approval and we are preparing for this potential request from the FDA.</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commenced the NDA submission to the FDA in the first quarter of 2025. The pediatric study in subjects from the ages of 7 to 17 (weight greater than or equal to 30 kgs) is currently underway and the initial study results appear in line with expectations. We are planning on initiating a product launch of Anaphylm, if approved by the FDA, in the first quarter of 2026. This is based on completing the NDA submission with the FDA in the coming weeks.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 xml:space="preserve">AQST-108 </w:t>
      </w:r>
      <w:r>
        <w:rPr>
          <w:rFonts w:ascii="Times New Roman;sans-serif" w:hAnsi="Times New Roman;sans-serif"/>
          <w:b w:val="false"/>
          <w:color w:val="000000"/>
          <w:sz w:val="20"/>
        </w:rPr>
        <w:t>(epinephrine) Topical Gel – Our product candidate, AQST</w:t>
        <w:noBreakHyphen/>
        <w:t>108 is composed of the prodrug dipivefrin which is enzymatically cleaved into epinephrine after administration. AQST</w:t>
        <w:noBreakHyphen/>
        <w:t>108, is a topically delivered adrenergic agonist prodrug, which we believe has the potential to support the re-establishment of immune privilege in the hair follicle and we are pursuing its development for the treatment of alopecia areata, which is an autoimmune disease leading to hair loss on the scalp, face and, in more severe cases, other body areas. We completed the first human clinical trial for AQST-108. The two-part trial was designed to assess the safety and local tolerability of AQST-108. Part 1 was designed as a single ascending dose escalation study to assess the safety and PK of five different dose levels. The 1.0% dose of AQST-108 was chosen based on the down selection from the highest dose to move into the Part 2 study of the development program. In Part 2, three formulations based on excipient variations were evaluated in twelve healthy subjects. In Parts 1 and 2, no serious adverse events or topical adverse events were observed. In Part 2, the calculated percentage of AQST-108 observed in the skin remained consistent across all studied formulations and zero post-dose AQST-108 concentrations in plasma were observed. We received pre-IND FDA feedback in the fourth quarter of 2024 to align on the Phase 2a clinical trial design and plan to open and IND and initiate the Phase 2a clinical trial in the second quarter of 2025.</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Proprietary CNS Product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We believe the application of our proprietary PharmFilm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is particularly valuable and relevant to patients suffering from certain CNS disorders to meet patients’ unmet medical needs and to solve patients’ therapeutic problems. Our most advanced asset within our proprietary CNS portfolio, focused in epilepsy, is as follows: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 xml:space="preserve">Libervant </w:t>
      </w:r>
      <w:r>
        <w:rPr>
          <w:color w:val="000000"/>
        </w:rPr>
        <w:t xml:space="preserve">– </w:t>
      </w:r>
      <w:r>
        <w:rPr>
          <w:rFonts w:ascii="Times New Roman;sans-serif" w:hAnsi="Times New Roman;sans-serif"/>
          <w:b w:val="false"/>
          <w:color w:val="000000"/>
          <w:sz w:val="20"/>
        </w:rPr>
        <w:t xml:space="preserve">a buccally, or inside of the cheek, administered soluble film formulation of diazepam, Libervant was developed as an alternative to device-dependent rescue therapies currently available to patients with refractory epilepsy, which are a rectal gel and nasal sprays. </w:t>
      </w:r>
    </w:p>
    <w:p>
      <w:pPr>
        <w:pStyle w:val="TextBody"/>
        <w:bidi w:val="0"/>
        <w:spacing w:lineRule="auto" w:line="288" w:before="0" w:after="120"/>
        <w:jc w:val="both"/>
        <w:rPr/>
      </w:pPr>
      <w:r>
        <w:rPr>
          <w:rFonts w:ascii="Times New Roman;sans-serif" w:hAnsi="Times New Roman;sans-serif"/>
          <w:b w:val="false"/>
          <w:color w:val="000000"/>
          <w:sz w:val="20"/>
        </w:rPr>
        <w:t>On April 26, 2024, the FDA approved Libervant for U.S. market access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seizure clusters, acute repetitive seizures) (or ARS) that are distinct from a patient’s usual seizure pattern in patients with epilepsy between two to five years of age. Libervant is the first and only orally administered rescue product for the treatment of seizure cluster in patients between ages two to five. The only other current FDA approved product for these ARS patients between two to five years of age is a diazepam rectal gel. In October 2024, Libervant 5mg, 7.5mg, 10mg, 12.5mg and 15 mg for ARS patients between two and five years of age became available through multiple retail distribution channels. Market access activities have broadened coverage. Libervant is available nationwide with retail distribution capabilities in place. For Medicaid patients, Libervant is available in all states. Commercial patient access to Libervant continues to expand based on health plan reviews and Pharmacy Benefit Manager agreements.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FDA approval of Libervant for ARS patients between two to five years, the FDA granted tentative approval in August 2022 for Libervant for the same indication in patients with epilepsy 12 years of age and older, finding that Libervant had met all required quality, safety, and efficacy standards for approval. However, due to an existing FDA regulatory grant of orphan drug market exclusivity for a diazepam nasal spray product sold by another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6705"/>
                <wp:effectExtent l="0" t="0" r="0" b="0"/>
                <wp:wrapNone/>
                <wp:docPr id="15" name="Frame1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company for use in ARS patients 6 years of age and older, the FDA determined that Libervant was not yet eligible for marketing in the United States for this patient population of 12 years of age and older. We expect to file for FDA approval for use of Libervant for these ARS patients aged between 6 and 12 years prior to the expiration of the orphan drug marketing exclusivity block of the nasal spray product. As a result of the orphan drug marketing exclusivity granted by the FDA to the nasal spray product, the FDA cannot give final approval for U.S. market access for Libervant for any age group of 6 and above until the expiration or inapplicability of the orphan drug market exclusivity. However, overcoming the orphan drug marketing exclusivity determination is difficult to establish, with limited precedent, and there can be no assurance that the FDA will agree with our position seeking to overcome such market exclusivity and approve Libervant for U.S. market access for this age group of 6 years and older earlier than January 2027, the scheduled date for expiration of orphan drug market exclusivity for the FDA nasal spray product. See “Licensed Commercial Products, Product Candidates and Other Products – Libervant” for a discussion of the licensing arrangement for Libervant.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2024 the FDA granted seven years of ODE to Libervant® (diazepam) Buccal Film for ARS patients between two to five years of age. Libervant was originally granted Orphan Drug Designation on November 10, 2016 and the ODE now granted to Libervant for patients ages two to five extends to April of 2031.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2025, in a lawsuit brought by Neurelis, Inc. ("Neurelis") against the FDA (Neurelis, Inc. v. Califf, for which the Company joined as a Defendant Intervenor) challenging the FDA's approval of Libervant for ARS patients aged between two and five years, the U.S. District for the District of Columbia issued a final appealable order entering a judgment in favor of Neurelis's motion for summary judgement and vacating the FDA’s approval of Libervant. The District Court's ruling was not based on grounds of safety or efficacy of Libervant, but rather on the grounds that the law granting ODE to the FDA approved nasal spray Valtoco for patients aged six and older should be interpreted to extend to children aged two to five, despite that Valtoco was not approved by the FDA to treat these younger patients. The Company is appealing this ruling and has filed a motion to stay the court's ruling pending the outcome of the appeal. The Company is continuing to market and sell Libervant in the ordinary course, pending a final non-appealable ruling in this matter.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24, 2025, Aquestive filed a request with the FDA that the FDA also confirms approval of Libervant for ARS patients aged between two and five years on the FDA regulatory grounds of clinical superiority over the other currently existing FDA approved ARS drugs, including confirming the FDA grant of ODE for Libervant for ARS patients aged between two and five years. FDA’s orphan drug regulations define a “clinically superior” drug as “a drug shown to provide a significant therapeutic advantage over and above that provided by an approved orphan drug (that is otherwise the same drug)” in one of three ways: the basis of greater efficacy or safety, or providing a major contribution to patient care.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is not able to determine or predict the ultimate outcome of these proceedings or provide a reasonable estimate or range of estimates of the possible outcome in these matters, the Company intends to vigorously defend against any decision that jeopardizes the on-label patient access to Libervant. See Part II, Item 8. Financial Statements and Supplementary Data, Note 23, Contingencies.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Licensed Commercial Products and Product Candidates and Other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also includes other products and product candidates that we have licensed, or will seek to license, or for which we have licensed our intellectual property for commercialization. In the years ended December 31, 2024 and 2023, our licensed product portfolio generated $57,561 and $50,583 in revenue to Aquestive, respectively. Those products include:</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Suboxone</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a sublingual film formulation of buprenorphine and naloxone, respectively an opioid agonist and antagonist, that is marketed in the United States and internationally for the treatment of opioid dependence. Suboxone was launched by our licensee, Indivior Inc., or Indivior, in 2010. Suboxone is the most prescribed branded product in its category and was the first sublingual film product for the treatment of opioid dependence. We are the sole and exclusive supplier and manufacturer of Suboxone and have produced over 2.7 billion doses of Suboxone since its launch in 2010. As of December 31, 2024, Suboxone branded products retain approximately 27% film market share as generic film-based products have penetrated this market.</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Emylif</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 xml:space="preserve">an oral film formulation of riluzole, has been developed by Aquestive for the treatment of ALS. We believe that Emylif can bring meaningful assistance to patients who are diagnosed with ALS and face difficulties swallowing traditional forms of medication. This product was originally approved and marketed in the U.S. under the name Exservan. Exservan was approved by the FDA on November 22, 2019. We submitted a request for voluntary withdrawal of the NDA as the product is no longer marketed in the U.S. and the NDA was officially withdrawn on February 14,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6705"/>
                <wp:effectExtent l="0" t="0" r="0" b="0"/>
                <wp:wrapNone/>
                <wp:docPr id="16" name="Frame1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During the fourth quarter of 2019, we announced the grant of a license to Zambon for the development and commercialization of Exservan in the EU for the treatment of ALS which it markets as Emylif</w:t>
      </w:r>
      <w:r>
        <w:rPr>
          <w:rFonts w:ascii="Times New Roman;sans-serif" w:hAnsi="Times New Roman;sans-serif"/>
          <w:b w:val="false"/>
          <w:color w:val="000000"/>
          <w:sz w:val="13"/>
        </w:rPr>
        <w:t>®</w:t>
      </w:r>
      <w:r>
        <w:rPr>
          <w:rFonts w:ascii="Times New Roman;sans-serif" w:hAnsi="Times New Roman;sans-serif"/>
          <w:b w:val="false"/>
          <w:color w:val="000000"/>
          <w:sz w:val="20"/>
        </w:rPr>
        <w:t>. Zambon is a multinational pharmaceutical company with a focus on the CNS therapeutic area. Under the terms of the license agreement with Zambon, an upfront payment was paid to Aquestive for the development and commercialization rights of Emylif in the EU, and Aquestive will be paid development and sales milestone payments and low double-digit royalties on net sales of the product in the EU. Zambon is responsible for the regulatory approval and marketing of Emylif in the countries where Zambon seeks to market the product and Aquestive is responsible for the development and manufacture of the product. During the second quarter of 2023, Aquestive received a $0.5 million milestone payment in connection with the first commercial sale in the first country in the licensed territory for Emylif pursuant to the terms of the license agreement with Zambon.</w:t>
      </w:r>
    </w:p>
    <w:p>
      <w:pPr>
        <w:pStyle w:val="TextBody"/>
        <w:bidi w:val="0"/>
        <w:spacing w:lineRule="auto" w:line="288" w:before="0" w:after="120"/>
        <w:jc w:val="both"/>
        <w:rPr/>
      </w:pPr>
      <w:r>
        <w:rPr>
          <w:rFonts w:ascii="Times New Roman;sans-serif" w:hAnsi="Times New Roman;sans-serif"/>
          <w:b w:val="false"/>
          <w:color w:val="000000"/>
          <w:sz w:val="20"/>
        </w:rPr>
        <w:t xml:space="preserve">In January 2021, we announced that we granted an exclusive license to MTPA for the commercialization in the United States of Exservan.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the Company and MTPA mutually agreed to terminate the MTPA Licensing Agreement. See Part II Item 8. Financial Statements and Supplementary Data, Note 7, </w:t>
      </w:r>
      <w:r>
        <w:rPr>
          <w:rFonts w:ascii="Times New Roman;sans-serif" w:hAnsi="Times New Roman;sans-serif"/>
          <w:b w:val="false"/>
          <w:i/>
          <w:color w:val="000000"/>
          <w:sz w:val="20"/>
        </w:rPr>
        <w:t>Material Agreements</w:t>
      </w:r>
      <w:r>
        <w:rPr>
          <w:color w:val="000000"/>
        </w:rPr>
        <w:t xml:space="preserve"> </w:t>
      </w:r>
      <w:r>
        <w:rPr>
          <w:rFonts w:ascii="Times New Roman;sans-serif" w:hAnsi="Times New Roman;sans-serif"/>
          <w:b w:val="false"/>
          <w:color w:val="000000"/>
          <w:sz w:val="20"/>
        </w:rPr>
        <w:t xml:space="preserve">for details. </w:t>
      </w:r>
    </w:p>
    <w:p>
      <w:pPr>
        <w:pStyle w:val="TextBody"/>
        <w:bidi w:val="0"/>
        <w:spacing w:lineRule="auto" w:line="288" w:before="0" w:after="120"/>
        <w:jc w:val="both"/>
        <w:rPr/>
      </w:pPr>
      <w:r>
        <w:rPr>
          <w:rFonts w:ascii="Times New Roman;sans-serif" w:hAnsi="Times New Roman;sans-serif"/>
          <w:b w:val="false"/>
          <w:color w:val="000000"/>
          <w:sz w:val="20"/>
        </w:rPr>
        <w:t xml:space="preserve">In March 2022, we announced the grant of an exclusive license to Haisco for Haisco to develop and commercialize Exservan for the treatment of ALS in China. Haisco is a China-based public pharmaceutical company. Haisco lead the regulatory and commercialization activities for Exservan in China. Aquestive was the exclusive sole manufacturer and supplier for Exservan in China. Under the terms of the license agreement with Haisco, as amended, Aquestive received a $7.0 million upfront payment in September 2022, and was to receive regulatory milestone payments, double-digit royalties on net sales of Exservan in China, and earn manufacturing revenue upon the sale of Exservan in China. In June 2024, Aquestive and Haisco mutually agreed to terminate the Haisco Agreement. See Part II Item 8. Financial Statements and Supplementary Data, Note 7, </w:t>
      </w:r>
      <w:r>
        <w:rPr>
          <w:rFonts w:ascii="Times New Roman;sans-serif" w:hAnsi="Times New Roman;sans-serif"/>
          <w:b w:val="false"/>
          <w:i/>
          <w:color w:val="000000"/>
          <w:sz w:val="20"/>
        </w:rPr>
        <w:t xml:space="preserve">Material Agreements </w:t>
      </w:r>
      <w:r>
        <w:rPr>
          <w:rFonts w:ascii="Times New Roman;sans-serif" w:hAnsi="Times New Roman;sans-serif"/>
          <w:b w:val="false"/>
          <w:color w:val="000000"/>
          <w:sz w:val="20"/>
        </w:rPr>
        <w:t xml:space="preserve">for details. </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Ondif</w:t>
      </w:r>
      <w:r>
        <w:rPr>
          <w:rFonts w:ascii="Times New Roman;sans-serif" w:hAnsi="Times New Roman;sans-serif"/>
          <w:b/>
          <w:color w:val="000000"/>
          <w:sz w:val="13"/>
        </w:rPr>
        <w:t>®</w:t>
      </w:r>
      <w:r>
        <w:rPr>
          <w:color w:val="000000"/>
        </w:rPr>
        <w:t xml:space="preserve"> – </w:t>
      </w:r>
      <w:r>
        <w:rPr>
          <w:rFonts w:ascii="Times New Roman;sans-serif" w:hAnsi="Times New Roman;sans-serif"/>
          <w:b w:val="false"/>
          <w:color w:val="000000"/>
          <w:sz w:val="20"/>
        </w:rPr>
        <w:t>an oral soluble film formulation of ondansetron, a 5-HT antagonist, was developed for the treatment of nausea and vomiting associated with chemotherapy and post-operative recovery. Ondansetron is available as branded and generic products as intravenous injections, intramuscular injections, orally dissolving tablets, oral solution tablets, and film. We licensed commercial rights for this product to Hypera in Brazil (which Hypera markets as Ondif). Hypera received approval to market Ondif in Brazil from ANVISA on February 21, 2022. Aquestive manufactures and supplies Ondif to Hypera. This product was originally approved and marketed in the U.S. under the name Zuplenz®. We submitted a request for voluntary withdrawal of the NDA for Zuplenz, as the product is no longer marketed in the U.S. In November 2024, the request for FDA withdrawal of the NDA for Zuplenz was completed.</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color w:val="000000"/>
          <w:sz w:val="20"/>
        </w:rPr>
        <w:t>Libervant</w:t>
      </w:r>
      <w:r>
        <w:rPr>
          <w:rFonts w:ascii="Times New Roman;sans-serif" w:hAnsi="Times New Roman;sans-serif"/>
          <w:b/>
          <w:color w:val="000000"/>
          <w:sz w:val="13"/>
        </w:rPr>
        <w:t>®</w:t>
      </w:r>
      <w:r>
        <w:rPr>
          <w:color w:val="000000"/>
        </w:rPr>
        <w:t xml:space="preserve"> </w:t>
      </w:r>
      <w:r>
        <w:rPr>
          <w:color w:val="000000"/>
          <w:shd w:fill="FFFFFF" w:val="clear"/>
        </w:rPr>
        <w:t>–</w:t>
      </w:r>
      <w:r>
        <w:rPr>
          <w:color w:val="000000"/>
        </w:rPr>
        <w:t xml:space="preserve"> </w:t>
      </w:r>
      <w:r>
        <w:rPr>
          <w:rFonts w:ascii="Times New Roman;sans-serif" w:hAnsi="Times New Roman;sans-serif"/>
          <w:b w:val="false"/>
          <w:color w:val="000000"/>
          <w:sz w:val="20"/>
        </w:rPr>
        <w:t>We entered into the Pharmanovia Agreement with Pharmanovia, effective as of September 26, 2022, pursuant to which we granted Pharmanovia an exclusive license to certain of our intellectual property to develop and commercialize Libervant for the treatment of prolonged or acute, convulsive seizures in all ages in certain countries of the Territory, as defined in the Pharmanovia Agreement, during the term of the Pharmanovia Agreement. Under the Pharmanovia Agreement, Pharmanovia will lead the regulatory and commercialization activities for Libervant in the Territory and Aquestive will serve as the exclusive sole manufacturer and supplier of Libervant in the Territory. We received $3.5 million upon agreement execution. Effective March 27, 2023, we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we received a non-refundable payment of $2.0 million from Pharmanovia on execution of the Pharmanovia Amendment.</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color w:val="000000"/>
          <w:sz w:val="20"/>
        </w:rPr>
        <w:t>Sympazan</w:t>
      </w:r>
      <w:r>
        <w:rPr>
          <w:rFonts w:ascii="Times New Roman;sans-serif" w:hAnsi="Times New Roman;sans-serif"/>
          <w:b/>
          <w:color w:val="000000"/>
          <w:sz w:val="13"/>
        </w:rPr>
        <w:t xml:space="preserve">® </w:t>
      </w:r>
      <w:r>
        <w:rPr>
          <w:color w:val="000000"/>
        </w:rPr>
        <w:t xml:space="preserve">– </w:t>
      </w:r>
      <w:r>
        <w:rPr>
          <w:rFonts w:ascii="Times New Roman;sans-serif" w:hAnsi="Times New Roman;sans-serif"/>
          <w:b w:val="false"/>
          <w:color w:val="000000"/>
          <w:sz w:val="20"/>
        </w:rPr>
        <w:t>an oral soluble film formulation of clobazam used for the treatment of seizures associated with a rare, intractable form of epilepsy known as Lennox-Gastaut syndrome, or LGS, in patients aged two years of age or older, was approved by the FDA on November 1, 2018. We commercially launched Sympazan in December 2018. On October 26, 2022, we entered into a License Agreement with Otter Pharmaceuticals, LLC, a subsidiary of Assertio Holdings, Inc., pursuant to which we granted an exclusive, worldwide license of its intellectual property for Sympazan to Assertio during the term of that agreement for an upfront payment of $9.0 million. Additionally, we subsequently received from Assertio a $6.0 million milestone payment upon its receipt of a notice of allowance from the United States Patent and Trademark Office of its patent application U.S. Serial No. 16/561,573, and payment of the related allowance fee. Aquestive is the exclusive sole manufacturer and supplier of Sympazan for Assertio and will receive manufacturing fees from Assertio for the product through the expiration of such License Agreement.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KYNMOBI</w:t>
      </w:r>
      <w:r>
        <w:rPr>
          <w:rFonts w:ascii="Times New Roman;sans-serif" w:hAnsi="Times New Roman;sans-serif"/>
          <w:b/>
          <w:color w:val="000000"/>
          <w:sz w:val="13"/>
        </w:rPr>
        <w:t>®</w:t>
      </w:r>
      <w:r>
        <w:rPr>
          <w:color w:val="000000"/>
        </w:rPr>
        <w:t xml:space="preserve"> – </w:t>
      </w:r>
      <w:r>
        <w:rPr>
          <w:rFonts w:ascii="Times New Roman;sans-serif" w:hAnsi="Times New Roman;sans-serif"/>
          <w:b w:val="false"/>
          <w:color w:val="000000"/>
          <w:sz w:val="20"/>
        </w:rPr>
        <w:t xml:space="preserve">a sublingual film formulation of apomorphine, which is a dopamine agonist, was developed to treat episodic off-periods in Parkinson’s disease. We licensed our intellectual property to Cynapsus Therapeutics, Inc., a company that was acquired by Sunovion for the commercialization of KYNMOBI under the Sunovion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6705"/>
                <wp:effectExtent l="0" t="0" r="0" b="0"/>
                <wp:wrapNone/>
                <wp:docPr id="17" name="Frame1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 xml:space="preserve">Agreement. KYNMOBI was approved by the FDA on May 21, 2020 and commercially launched by Sunovion in September 2020. On November 3, 2020, we entered into the Monetization Agreement. Under the terms of the Monetization Agreement, we sold all of our contractual rights to receive royalties and milestone payments due under the Sunovion License Agreement related to Sunovion’s apomorphine product, KYNMOBI. In June 2023, Sunovion announced that it had voluntarily withdrawn KYNMOBI from the U.S. and Canadian markets. See Part II Item 8. Financial Statements and Supplementary Data, Note 17,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 xml:space="preserve">for details.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color w:val="000000"/>
          <w:sz w:val="20"/>
          <w:shd w:fill="FFFFFF" w:val="clear"/>
        </w:rPr>
        <w:t>Azstarys</w:t>
      </w:r>
      <w:r>
        <w:rPr>
          <w:rFonts w:ascii="Times New Roman;sans-serif" w:hAnsi="Times New Roman;sans-serif"/>
          <w:b/>
          <w:color w:val="000000"/>
          <w:sz w:val="13"/>
        </w:rPr>
        <w:t>®</w:t>
      </w:r>
      <w:r>
        <w:rPr>
          <w:color w:val="000000"/>
          <w:shd w:fill="FFFFFF" w:val="clear"/>
        </w:rPr>
        <w:t xml:space="preserve"> – </w:t>
      </w:r>
      <w:r>
        <w:rPr>
          <w:rFonts w:ascii="Times New Roman;sans-serif" w:hAnsi="Times New Roman;sans-serif"/>
          <w:b w:val="false"/>
          <w:color w:val="000000"/>
          <w:sz w:val="20"/>
          <w:shd w:fill="FFFFFF" w:val="clear"/>
        </w:rPr>
        <w:t xml:space="preserve">an FDA-approved, once-daily product for the treatment of ADHD in patients age 6 years or older. AZSTARYS consists of serdexmethylphenidate, a prodrug of d-methylphenidate (d-MPH), co-formulated with immediate release d-MPH. In March 2012, we entered into an agreement with Zevra (formerly KemPharm, Inc.) to terminate a Collaboration and License Agreement entered into by the Company and Zevra in April 2011. Under this termination arrangement, we have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 </w:t>
      </w:r>
      <w:r>
        <w:rPr>
          <w:rFonts w:ascii="Times New Roman;sans-serif" w:hAnsi="Times New Roman;sans-serif"/>
          <w:b w:val="false"/>
          <w:color w:val="000000"/>
          <w:sz w:val="20"/>
        </w:rPr>
        <w:t xml:space="preserve">Pursuant to the terms of the March 2012 agreement with Zevra, we began to receive </w:t>
      </w:r>
      <w:r>
        <w:rPr>
          <w:rFonts w:ascii="Times New Roman;sans-serif" w:hAnsi="Times New Roman;sans-serif"/>
          <w:b w:val="false"/>
          <w:color w:val="000000"/>
          <w:sz w:val="20"/>
          <w:shd w:fill="FFFFFF" w:val="clear"/>
        </w:rPr>
        <w:t xml:space="preserve">milestone and royalty revenues for Azstarys. </w:t>
      </w:r>
      <w:r>
        <w:rPr>
          <w:rFonts w:ascii="Times New Roman;sans-serif" w:hAnsi="Times New Roman;sans-serif"/>
          <w:b w:val="false"/>
          <w:color w:val="000000"/>
          <w:sz w:val="20"/>
        </w:rPr>
        <w:t xml:space="preserve">See Part II Item 8. Financial Statements and Supplementary Data, Note 7, </w:t>
      </w:r>
      <w:r>
        <w:rPr>
          <w:rFonts w:ascii="Times New Roman;sans-serif" w:hAnsi="Times New Roman;sans-serif"/>
          <w:b w:val="false"/>
          <w:i/>
          <w:color w:val="000000"/>
          <w:sz w:val="20"/>
        </w:rPr>
        <w:t>Material Agreements</w:t>
      </w:r>
      <w:r>
        <w:rPr>
          <w:color w:val="000000"/>
        </w:rPr>
        <w:t xml:space="preserve"> </w:t>
      </w:r>
      <w:r>
        <w:rPr>
          <w:rFonts w:ascii="Times New Roman;sans-serif" w:hAnsi="Times New Roman;sans-serif"/>
          <w:b w:val="false"/>
          <w:color w:val="000000"/>
          <w:sz w:val="20"/>
        </w:rPr>
        <w:t xml:space="preserve">for details. </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Market Overview</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Anaphylaxis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Anaphylaxis is a severe systemic allergic reaction that can be triggered by certain foods, medications, insect stings and latex, among other allergens. Signs and symptoms of anaphylaxis typically occur within seconds or minutes of exposure and may include low blood pressure, skin rash or itching, constric</w:t>
      </w:r>
      <w:r>
        <w:rPr>
          <w:rFonts w:ascii="Times New Roman;sans-serif" w:hAnsi="Times New Roman;sans-serif"/>
          <w:b w:val="false"/>
          <w:color w:val="000000"/>
          <w:sz w:val="20"/>
          <w:shd w:fill="FFFFFF" w:val="clear"/>
        </w:rPr>
        <w:t xml:space="preserve">tion of the airway and difficulty breathing and nausea and vomiting. If not treated immediately, anaphylaxis can lead to death due to airway restriction or cardiac arrest. Anaphylaxis is a potentially life-threatening systemic allergic reaction, with an estimated incidence of 50 to 112 episodes per 100,000 people per year. An international study found that hospital admissions for anaphylaxis have increased over a 15-year study period. The most common causes of reactions that can include anaphylaxis are medications, foods (such as peanuts), and venom from insect stings. Because anaphylaxis can progress quickly, the ability to administer a reliable and accurate dose of epinephrine as quickly as possible following a reaction is critical for patient recovery and survival.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shd w:fill="FFFFFF" w:val="clear"/>
        </w:rPr>
        <w:t xml:space="preserve">Treatment of anaphylaxis typically consists of an intramuscular injection of epinephrine administered at the earliest opportunity, followed by additional intramuscular or intravenous injections as needed. A generic form of epinephrine auto-injector (brand form EpiPen) is the leading self-administered form of epinephrine. People with known allergies and who are at risk for anaphylaxis are advised to carry two epinephrine auto-injectors with them at all times and self-administer at the first signs of an anaphylactic reaction. Auto-injectors can be inconvenient to transport and many patients and caregivers dislike injections as a delivery method. </w:t>
      </w:r>
      <w:r>
        <w:rPr>
          <w:rFonts w:ascii="Times New Roman;sans-serif" w:hAnsi="Times New Roman;sans-serif"/>
          <w:b w:val="false"/>
          <w:color w:val="000000"/>
          <w:sz w:val="20"/>
        </w:rPr>
        <w:t xml:space="preserve">In August 2024, a non-injection-based epinephrine delivery device, </w:t>
      </w:r>
      <w:r>
        <w:rPr>
          <w:rFonts w:ascii="Times New Roman;sans-serif" w:hAnsi="Times New Roman;sans-serif"/>
          <w:b w:val="false"/>
          <w:i/>
          <w:color w:val="000000"/>
          <w:sz w:val="20"/>
        </w:rPr>
        <w:t>Neffy</w:t>
      </w:r>
      <w:r>
        <w:rPr>
          <w:rFonts w:ascii="Times New Roman;sans-serif" w:hAnsi="Times New Roman;sans-serif"/>
          <w:b w:val="false"/>
          <w:color w:val="000000"/>
          <w:sz w:val="20"/>
        </w:rPr>
        <w:t>®, was approved by the FDA and EMA for the treatment of severe allergic reactions, including anaphylaxis, and is in the early phase of its commercial launch.</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Proper dosing and the ability to effectively administer epinephrine in a timely, reliable manner is critical for patients experiencing anaphylaxis. However, we believe that the inability to administer complex molecules via oral administration has limited the development of treatments that have the potential to provide significant patient benefit. We designed Anaphylm, a “first of its kind” oral sublingual film formulation delivering systemic epinephrine, as a rescue medicine for the treatment of anaphylaxis, using Aquestive’s proprietary PharmFilm technologies. We believe there is a significant market opportunity for a non-injectable, device-free, easier to administer product with a fast onset of action. A product with this profile could enable patients to conveniently and rapidly self-administer a reliable and accurate dose of epinephrine during an anaphylactic reaction, which we believe will improve patient compliance. Subject to our achieving regulatory approval of this product candidate, which we cannot assure, we believe Anaphylm has the potential to reduce the treatment burden currently associated with intramuscular injections and may lower costs to the healthcare system associated with anaphylaxis, due to inaccurate or untimely dosing.</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Epilepsy</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Epilepsy is a chronic CNS disorder characterized by recurrent seizure activity. There are 3.4 million people in the United States suffering from epilepsy. According to Symphony Health data, antiepileptic medications generated billions of dollars of sales in the United States in 2022. The direct (medical) and indirect (lost wages and productivity) annual costs associated with epileptic patients in the United States are significant.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shd w:fill="FFFFFF" w:val="clear"/>
        </w:rPr>
        <w:t xml:space="preserve">Epilepsy treatment regimens typically consist of chronic and acute management therapies. Chronic medicines are used on a daily basis to suppress seizure activity. Approximately </w:t>
      </w:r>
      <w:r>
        <w:rPr>
          <w:rFonts w:ascii="Times New Roman;sans-serif" w:hAnsi="Times New Roman;sans-serif"/>
          <w:b w:val="false"/>
          <w:color w:val="000000"/>
          <w:sz w:val="20"/>
        </w:rPr>
        <w:t>1.1 million</w:t>
      </w:r>
      <w:r>
        <w:rPr>
          <w:color w:val="000000"/>
          <w:shd w:fill="FFFFFF" w:val="clear"/>
        </w:rPr>
        <w:t xml:space="preserve"> </w:t>
      </w:r>
      <w:r>
        <w:rPr>
          <w:rFonts w:ascii="Times New Roman;sans-serif" w:hAnsi="Times New Roman;sans-serif"/>
          <w:b w:val="false"/>
          <w:color w:val="000000"/>
          <w:sz w:val="20"/>
          <w:shd w:fill="FFFFFF" w:val="clear"/>
        </w:rPr>
        <w:t xml:space="preserve">of those suffering from epilepsy will continue to suffer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6705"/>
                <wp:effectExtent l="0" t="0" r="0" b="0"/>
                <wp:wrapNone/>
                <wp:docPr id="18" name="Frame1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breakthrough seizures and may require an acute (rescue) management strategy. Patients are routinely prescribed antiepileptic drugs, or AEDs, as “maintenance” therapy to control chronic seizure activity. Most AEDs specifically target neuronal excitation or neuronal inhibitory pathways. Patients are routinely prescribed benzodiazepines as “rescue” therapy for the management of acute seizure emergencies.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shd w:fill="FFFFFF" w:val="clear"/>
        </w:rPr>
        <w:t xml:space="preserve">Rescue therapies are administered as needed in the event of an acute seizure to rapidly terminate seizure activity. One of the most effective benzodiazepines currently available for the treatment of acute seizures is diazepam. Diazepam has historically been marketed as a product administered rectally and more recently, a nasal spray product was introduced to the market for patients ages 6 years and up. Rectal administration of this drug presents a particular challenge for patients. We developed our product candidate Libervant as an alternative to the device-dependent rescue therapies currently available to patients with refractory epilepsy and Libervant® is currently available for patients between ages two to five. </w:t>
      </w:r>
      <w:r>
        <w:rPr>
          <w:rFonts w:ascii="Times New Roman;sans-serif" w:hAnsi="Times New Roman;sans-serif"/>
          <w:b w:val="false"/>
          <w:color w:val="000000"/>
          <w:sz w:val="20"/>
        </w:rPr>
        <w:t>See “Our Product Portfolio and Pipeline” above and “Competition” below in this Item 1. Business of this Form 10-K for additional information concerning the Libervant FDA approval process and market access issues.</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multiple epileptic syndromes including LGS, which is a rare, intractable form of epilepsy. Patients with LGS are often drug resistant, predisposing them to recurrent seizures, and are typically prescribed a combination of antiepileptic medications, which often includes clobazam. Clobazam (branded name Onfi) is available in both a tablet and suspension formulation. Generic versions of the clobazam tablet and suspension formulation are available to patients, as well. Sympazan was developed as an alternative to these other routes of administration of clobazam.</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Manufacturing and Product Supply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two manufacturing and primary packaging facilities located in Portage, Indiana, where we currently manufacture our licensed products, Suboxone, Emylif, Ondif and Sympazan, and our proprietary product, Libervant for patients between two to five years of age, on an exclusive basis. These facilities are expected to have a combined capacity to accommodate the production of our proprietary product pipeline candidate and licensed products, without any current need for additional infrastructure. In 2022, we completed work to expand our manufacturing capabilities to include serialization and secondary packaging. This expansion allows us to support our existing and possible future business collaborations more broadly. With the cGMP facilities in Indiana, we will continue to explore possible additional manufacturing efficiencies in 2025. We will also continue to consider our anticipated facilities and infrastructure needs as our product development grows. We have produced over 1.0 billion doses in the last five years. The cGMP manufacturing operations in Indiana are registered with the DEA for Schedule II - V.</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We are subject to various regulatory requirements, such as the regulations of the FDA, the DEA, the EU, ANVISA and other foreign health authorities such as the </w:t>
      </w:r>
      <w:r>
        <w:rPr>
          <w:rFonts w:ascii="Times New Roman;sans-serif" w:hAnsi="Times New Roman;sans-serif"/>
          <w:b w:val="false"/>
          <w:color w:val="000000"/>
          <w:sz w:val="20"/>
          <w:shd w:fill="FFFFFF" w:val="clear"/>
        </w:rPr>
        <w:t>TGA. W</w:t>
      </w:r>
      <w:r>
        <w:rPr>
          <w:rFonts w:ascii="Times New Roman;sans-serif" w:hAnsi="Times New Roman;sans-serif"/>
          <w:b w:val="false"/>
          <w:color w:val="000000"/>
          <w:sz w:val="20"/>
        </w:rPr>
        <w:t>e are required to register our facilities and adhere to cGMP standards. These standards require manufacturers to follow elaborate design, testing, control, documentation and other quality assurance procedures throughout the entire manufacturing process. Our facilities have undergone inspections by the FDA, DEA, TGA, and several quality assurance inspections by pharmaceutical companies for cGMP compliance. In each case, the facilities have passed inspection and are subject to periodic re-inspection. Failure to comply with these and other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Adverse events with the product or product complaints must be reported and could result in the imposition of market restrictions through labeling changes or in product removal. Product approvals may be withdrawn if compliance with regulatory requirements is not maintained or if problems concerning safety or efficacy of the product occur following approval.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our raw materials, including active pharmaceutical ingredients, from qualified, approved vendors both domestically and internationally. Whenever possible, we continue to pursue a multi-supplier strategy for critical raw materials, where available or appropriate. Our product packaging foil is supplied by a single manufacturer. Such manufacturer utilizes multiple manufacturing facilities for production of our packaging foil. We may continue to enter into more formal supply agreements in the future as production volumes increase and are more predictive.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supervision of our internal clinical operations, we use third-party CROs to administer and conduct many aspects of our planned clinical trials including monitoring and managing data, and we will rely upon such CROs, as well as medical institutions, clinical investigators and consultants, to conduct our trials in accordance with our clinical protocols. We intend for such CROs to play a significant role in the subsequent collection and analysis of data from such trials.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compete with pharmaceutical and biotechnology companies that develop and commercialize therapeutics for the treatment of a broad range of disease areas and indications. Additionally, we compete with companies that utilize advanced drug administration platforms, such as oral, injectable, intranasal, transdermal patch and pulmonary delivery, to create improved therapeutics over current standards of care. This industry is highly competitive and new products and technologies evolve and come to market at a rapid pace. The companies operating in this market include multinational organizations,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6705"/>
                <wp:effectExtent l="0" t="0" r="0" b="0"/>
                <wp:wrapNone/>
                <wp:docPr id="19" name="Frame1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established biotechnology companies, single product pharmaceutical and biotechnology companies, specialty pharmaceutical companies, and generic drug companies. Many of the larger, established organizations currently have commercialization capabilities in-house, and may have partnership or license agreements in place with smaller companies for commercialization rights. These companies may develop new drugs to treat the indications that we target or seek to have existing drugs approved for the treatment of the indications that we target.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compete with commercialized products in all markets for which we have approval and are seeking approval.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characterized by rapid evolution and advancements of technologies, intense competition and strong defense of intellectual property. Any products and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Anaphylaxis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We expect that, if approved by the FDA, Anaphylm would compete with several existing products and other product candidates that target Type I allergic reactions. Among these are needle device-based treatments that have been accepted as standard of care treatment for many years, including autoinjectors such as EpiPen® marketed by Teva, and generics of EpiPen marketed by Viatris, Inc., Adrenaclick® marketed by Amneal Pharmaceuticals, LLC, and Auvi-Q® marketed by Kaleo Inc. and syringe device Symjepi® marketed by US Worldmeds. In August 2024, ARS Pharmaceuticals, Inc. announced its product </w:t>
      </w:r>
      <w:r>
        <w:rPr>
          <w:rFonts w:ascii="Times New Roman;sans-serif" w:hAnsi="Times New Roman;sans-serif"/>
          <w:b w:val="false"/>
          <w:i/>
          <w:color w:val="000000"/>
          <w:sz w:val="20"/>
        </w:rPr>
        <w:t>Neffy®</w:t>
      </w:r>
      <w:r>
        <w:rPr>
          <w:rFonts w:ascii="Times New Roman;sans-serif" w:hAnsi="Times New Roman;sans-serif"/>
          <w:b w:val="false"/>
          <w:color w:val="000000"/>
          <w:sz w:val="20"/>
        </w:rPr>
        <w:t xml:space="preserve">, a nasal spray epinephrine delivery device, was approved by the FDA and EMA for the treatment of severe allergic reactions, including anaphylaxis. Subsequently, ARS announced a licensing agreement with ALK-Abello A/S to commercialize </w:t>
      </w:r>
      <w:r>
        <w:rPr>
          <w:rFonts w:ascii="Times New Roman;sans-serif" w:hAnsi="Times New Roman;sans-serif"/>
          <w:b w:val="false"/>
          <w:i/>
          <w:color w:val="000000"/>
          <w:sz w:val="20"/>
        </w:rPr>
        <w:t>Neffy</w:t>
      </w:r>
      <w:r>
        <w:rPr>
          <w:color w:val="000000"/>
        </w:rPr>
        <w:t xml:space="preserve"> </w:t>
      </w:r>
      <w:r>
        <w:rPr>
          <w:rFonts w:ascii="Times New Roman;sans-serif" w:hAnsi="Times New Roman;sans-serif"/>
          <w:b w:val="false"/>
          <w:color w:val="000000"/>
          <w:sz w:val="20"/>
        </w:rPr>
        <w:t xml:space="preserve">in Europe, Canada and other territories outside of the United States. </w:t>
      </w:r>
      <w:r>
        <w:rPr>
          <w:rFonts w:ascii="Times New Roman;sans-serif" w:hAnsi="Times New Roman;sans-serif"/>
          <w:b w:val="false"/>
          <w:i/>
          <w:color w:val="000000"/>
          <w:sz w:val="20"/>
        </w:rPr>
        <w:t>Neffy</w:t>
      </w:r>
      <w:r>
        <w:rPr>
          <w:color w:val="000000"/>
        </w:rPr>
        <w:t xml:space="preserve"> </w:t>
      </w:r>
      <w:r>
        <w:rPr>
          <w:rFonts w:ascii="Times New Roman;sans-serif" w:hAnsi="Times New Roman;sans-serif"/>
          <w:b w:val="false"/>
          <w:color w:val="000000"/>
          <w:sz w:val="20"/>
        </w:rPr>
        <w:t>is currently marketed and available to patients in the U.S. There are other non-needle device based treatments in earlier phases of development that have not yet been approved for marketing in the United States by the FDA.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Anaphylm is the first and only orally delivered epinephrine product candidate in development to demonstrate clinical results comparable to autoinjectors such as EpiPen and Auvi-Q for the emergency treatment of allergic reactions, including anaphylaxis. We believe Anaphylm is well positioned as a non-device based treatment option for this indication, if approved by the FDA, due to its comparable efficacy to existing auto-injector and nasal spray products, easy portability and convenience of use.</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Epilepsy</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On January 10, 2020, a competitor of Aquestive obtained FDA approval of its diazepam nasal spray drug candidate, Valtoco, and was granted orphan-drug-exclusivity for this drug commencing as of January 10, 2020. A company that obtains FDA approval for a designated orphan drug receives orphan market exclusivity for that drug for the designated indication for a period of seven years from the grant date in the United States. This orphan drug exclusivity approval prevents a subsequent product seeking FDA approval from being marketed in the United States during the exclusivity period for the same active moiety for the same orphan drug indication except in the case where the drug candidate sponsor is able to demonstrate, and the FDA concludes, that the later drug is “clinically superior” to the approved products (</w:t>
      </w:r>
      <w:r>
        <w:rPr>
          <w:rFonts w:ascii="Times New Roman;sans-serif" w:hAnsi="Times New Roman;sans-serif"/>
          <w:b w:val="false"/>
          <w:i/>
          <w:color w:val="000000"/>
          <w:sz w:val="20"/>
        </w:rPr>
        <w:t>e.g.</w:t>
      </w:r>
      <w:r>
        <w:rPr>
          <w:rFonts w:ascii="Times New Roman;sans-serif" w:hAnsi="Times New Roman;sans-serif"/>
          <w:b w:val="false"/>
          <w:color w:val="000000"/>
          <w:sz w:val="20"/>
        </w:rPr>
        <w:t>, safer, more effective, or providing a major contribution to patient care) within the meaning of FDA regulations and guidance. In assessing whether a drug candidate sponsor has demonstrated that its drug candidate provides a “major contribution to patient care” over and above the currently approved drugs, which is evaluated by the FDA on a case by case basis, there is no single objective standard and the FDA may, in appropriate circumstances, consider such factors as convenience of treatment location, duration of treatment, patient comfort, reduced treatment burden, advances in ease and comfort of drug administration, longer periods between doses, and potential for self-administration.</w:t>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In August 2022, the FDA granted tentative approval for Libervant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seizure clusters, acute repetitive seizures) (or ARS) that are distinct from a patient’s usual seizure pattern in patients with epilepsy 12 years of age and older. The FDA concluded that Libervant had met all required quality, safety, and efficacy standards for approval. However, as a result of the orphan drug marketing exclusivity previously granted by the FDA to a nasal spray product, the FDA cannot give final approval for U.S. market access for Libervant for any age group of 6 years and above until the expiration or inapplicability of the orphan drug market exclusivity scheduled to occur in January, 2027. Due to this existing FDA regulatory grant of orphan drug market exclusivity, the FDA determined that Libervant was not yet eligible for marketing in the United States for this patient population of 12 years of age and older. We expect to file for FDA approval of these epilepsy patients aged between 6 and 12 years prior to the expiration of the orphan drug marketing exclusivity block of the nasal spray product.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6705"/>
                <wp:effectExtent l="0" t="0" r="0" b="0"/>
                <wp:wrapNone/>
                <wp:docPr id="20" name="Frame1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the FDA accepted Aquestive's NDA for Libervant (diazepam) Buccal Film for ARS patients between two and five years of age. On April 26, 2024, the FDA approved Libervant for U.S. market access for ARS patients between two and five years of age. Libervant is the first and only orally administered rescue product for the treatment of ARS patients between ages two and five years. The only other current FDA approved product on the market for these epilepsy patients between two and five years of age is a diazepam rectal gel. On December 18, 2024 the FDA granted seven years of ODE to Libervant for the treatment of ARS patients between two and five years of age.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October 2024, Libervant 5mg, 7.5mg, 10mg, 12.5mg and 15 mg for ARS patients between two and five years of age became available through multiple retail distribution channels. </w:t>
      </w:r>
      <w:r>
        <w:rPr>
          <w:rFonts w:ascii="Times New Roman;sans-serif" w:hAnsi="Times New Roman;sans-serif"/>
          <w:b w:val="false"/>
          <w:color w:val="000000"/>
          <w:sz w:val="20"/>
          <w:shd w:fill="FFFFFF" w:val="clear"/>
        </w:rPr>
        <w:t xml:space="preserve">Market access activities have broadened coverage. Libervant is available nationwide with retail distribution capabilities in place. For Medicaid patients, Libervant is available in all states. Commercial patient access to Libervant continues to expand based on health plan reviews and Pharmacy Benefit Manager agreements. </w:t>
      </w:r>
    </w:p>
    <w:p>
      <w:pPr>
        <w:pStyle w:val="TextBody"/>
        <w:bidi w:val="0"/>
        <w:spacing w:lineRule="auto" w:line="268" w:before="0" w:after="120"/>
        <w:ind w:left="0" w:right="0" w:firstLine="720"/>
        <w:jc w:val="both"/>
        <w:rPr/>
      </w:pPr>
      <w:r>
        <w:rPr>
          <w:rFonts w:ascii="Times New Roman;sans-serif" w:hAnsi="Times New Roman;sans-serif"/>
          <w:b w:val="false"/>
          <w:color w:val="000000"/>
          <w:sz w:val="20"/>
        </w:rPr>
        <w:t>On February 14, 2025, in a lawsuit brought by Neurelis, Inc. ("Neurelis") against the FDA (</w:t>
      </w:r>
      <w:r>
        <w:rPr>
          <w:rFonts w:ascii="Times New Roman;sans-serif" w:hAnsi="Times New Roman;sans-serif"/>
          <w:b w:val="false"/>
          <w:i/>
          <w:color w:val="000000"/>
          <w:sz w:val="20"/>
        </w:rPr>
        <w:t xml:space="preserve">Neurelis, Inc. v. Califf, </w:t>
      </w:r>
      <w:r>
        <w:rPr>
          <w:rFonts w:ascii="Times New Roman;sans-serif" w:hAnsi="Times New Roman;sans-serif"/>
          <w:b w:val="false"/>
          <w:color w:val="000000"/>
          <w:sz w:val="20"/>
        </w:rPr>
        <w:t>for which the Company joined as a Defendant Intervenor) challenging the FDA's approval of Libervant for ARS patients aged between two and five years, the U.S. District for the District of Columbia issued a final appealable order entering a judgment in favor of Neurelis's motion for summary judgement and vacating the FDA’s approval of Libervant. The District Court's ruling was not based on grounds of safety or efficacy of Libervant, but rather on the grounds that the law granting ODE to the FDA approved nasal spray for ARS patients aged six and older should be interpreted to extend to children aged two to five, despite that Valtoco was not approved by the FDA to treat these younger patients. The Company is appealing this ruling and has filed a motion to stay the court's ruling pending the outcome of the appeal. The Company is continuing to market and sell Libervant in the ordinary course, pending a final non-appealable ruling in this matter.</w:t>
      </w:r>
      <w:r>
        <w:rPr>
          <w:color w:val="000000"/>
          <w:shd w:fill="FFFFFF" w:val="clear"/>
        </w:rPr>
        <w:t xml:space="preserve"> </w:t>
      </w:r>
      <w:r>
        <w:rPr>
          <w:rFonts w:ascii="Times New Roman;sans-serif" w:hAnsi="Times New Roman;sans-serif"/>
          <w:b w:val="false"/>
          <w:color w:val="000000"/>
          <w:sz w:val="20"/>
        </w:rPr>
        <w:t xml:space="preserve">See Part II, Item 8. Financial Statements and Supplementary Data, Note 23, </w:t>
      </w:r>
      <w:r>
        <w:rPr>
          <w:rFonts w:ascii="Times New Roman;sans-serif" w:hAnsi="Times New Roman;sans-serif"/>
          <w:b w:val="false"/>
          <w:i/>
          <w:color w:val="000000"/>
          <w:sz w:val="20"/>
        </w:rPr>
        <w:t>Contingencies.</w:t>
      </w:r>
      <w:r>
        <w:rPr>
          <w:color w:val="000000"/>
          <w:shd w:fill="FFFFFF" w:val="clear"/>
        </w:rPr>
        <w:t xml:space="preserve"> </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Material Agreements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More details regarding material agreements are described in Part II, Item 8. Financial Statements and Supplementary Data, Note 7, </w:t>
      </w:r>
      <w:r>
        <w:rPr>
          <w:rFonts w:ascii="Times New Roman;sans-serif" w:hAnsi="Times New Roman;sans-serif"/>
          <w:b w:val="false"/>
          <w:i/>
          <w:color w:val="000000"/>
          <w:sz w:val="20"/>
        </w:rPr>
        <w:t>Material Agreements</w:t>
      </w:r>
      <w:r>
        <w:rPr>
          <w:rFonts w:ascii="Times New Roman;sans-serif" w:hAnsi="Times New Roman;sans-serif"/>
          <w:b w:val="false"/>
          <w:color w:val="000000"/>
          <w:sz w:val="20"/>
        </w:rPr>
        <w:t>.</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seek, and intend to continue seeking, patent protection whenever commercially reasonable for any patentable aspects of our product candidates and related technology or any new products or product candidates we acquire in the future. Where our intellectual property is not protected by patents, we may seek to protect it through other means, including maintenance of trade secrets and careful protection of our proprietary information.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Patents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patent portfolio currently comprises at least 110 issued patents worldwide, of which at least 28 are U.S. patents, and more than 150 pending patent applications worldwide. These issued patents and pending patent applications provide both process of making and composition of matter protection for our PharmFilm technology and products and product candidates, including Suboxone, Libervant and Anaphylm and our PharmFilm formulations of diazepam, clobazam, riluzole and epinephrine. These patents and, if issued as patents, pending patent applications will likely expire between 2024 and 2044. The pending patent applications will provide composition of matter and process of making protection for our PharmFilm dosage formulations of diazepam and epinephrine and, if issued as patents, will likely expire by 2040 and 2044, respectively. The projected expiration dates exclude any patent term adjustment or patent term extension.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PharmFilm – Our Oral Film Technology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PharmFilm technology is covered by at least 12 patent families. These patent families provide process, composition of matter protection for our PharmFilm technology, and comprise at least 49 issued patents worldwide, of which at least 12 are U.S. patents, and related pending patent applications worldwide. The patents and pending patent applications, if issued as patents, will likely expire between 2024 and 2044, excluding any patent term adjustment or patent term extension.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PharmFilm technology patents and/or patent applications also generically and specifically protect the technology utilized in the products in our CNS programs, our complex molecule programs, as well as our licensee programs. For example, encompassed within our platform technology patents and/or patent applications is specific coverage directed to PharmFilm dosage formulations of CNS molecules such as diazepam. Also encompassed within our platform technology is coverage for our complex molecule program which includes molecules such as epinephrine and technology applicable to our product candidate Anaphylm. Our platform technology patents and/or patent applications further cover the products Libervant, Suboxone and Ondif, as well as our formulations of the molecules apomorphine, which is part of our licensed programs. The expiration dates for patents covering PharmFilm products and product candidates, and for pending applications if issued as patents, extend from 2024 to 2044, excluding any patent term adjustment or patent term extension.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6705"/>
                <wp:effectExtent l="0" t="0" r="0" b="0"/>
                <wp:wrapNone/>
                <wp:docPr id="21" name="Frame1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note that several of our issued patents are or have been involved in administrative proceedings, such as reexamination and inter partes review at the U.S. Patent and Trademark Office, or USPTO, and opposition at the European Patent Organization, or EPO.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patents and patent applications, if granted, will be published in the FDA’s Approved Drug Products with Therapeutic Equivalence Evaluations, commonly known as the Orange Book. Drugs listed in the Orange Book can, in turn, be cited by potential generic competitors in support of approval of an ANDA or a 505(b)(2) NDA. If any of these potential generic competitors claim that their product will not infringe our listed patents, or that such patents are invalid, then they must send notice to us once the ANDA or 505(b)(2) NDA has been accepted for filing by the FDA. We may then initiate a patent infringement lawsuit in response to the notice of the Paragraph IV certification, which would automatically prevent the FDA from approving the ANDA or 505(b)(2) NDA until the earlier of 30 months, expiration of the patent, settlement of the lawsuit, or a decision in the infringement case that is favorable to the ANDA or 505(b)(2) NDA applicant.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rest of our patent portfolio largely relates to patents and applications owned by us and directed to our product development portfolio and other product candidates and related compositions and/or manufacturing processes.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Trade Secrets and Other Proprietary Information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protect our proprietary information, including our trade secrets and proprietary know-how, by requiring our colleagues, consultants and other advisors to execute confidentiality agreements upon the commencement of their employment or engagement. These agreements generally provide that all confidential information developed or made known during the relationship with us be kept confidential and not be disclosed to third parties except in specific circumstances, nor used outside the scope of their employment. In the case of our colleagues, the agreements also typically provide that all inventions resulting from work performed for us, utilizing our property or relating to our business and conceived or completed during employment shall be our exclusive property to the extent permitted by law. Where appropriate, agreements we obtain with our consultants also typically contain similar assignment of invention provisions. Further, we generally require confidentiality agreements from third parties that receive our confidential information. There can be no assurance, however, that these agreements will provide meaningful protection or adequate remedies for our trade secrets in the event of unauthorized use or disclosure of such information.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Trademarks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trademarks to develop and maintain our competitive position. Our trademarks or registered trademarks are filed in the United States and other select geographical areas.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Regulatory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FDA Approval Process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pharmaceutical products are subject to extensive regulation by the FDA. The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company to a variety of administrative or judicial sanctions, such as FDA refusal to approve pending applications, clinical holds, warning or untitled letters, product recalls, product seizures, total or partial suspension of production or distribution, withdrawal of product from the market, injunctions, fines, civil penalties and criminal prosecution.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FDA approval is required before any new drug or dosage form, including a new use of a previously approved drug, can be marketed in the United States. The process required by the FDA before a new drug may be marketed in the United States generally involves: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completion of preclinical laboratory and animal testing and formulation studies in compliance with the FDA’s GLP regulations;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submission to the FDA of an IND, application for human clinical testing which must become effective before human clinical trials may begin in the United States;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approval by an independent IRB at each clinical trial site before each trial may be initiated;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performance of adequate and well-controlled human clinical trials in accordance with current good clinical practices, or GCP, to establish the safety and efficacy of the proposed drug product for each intended use;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submission to the FDA of an NDA;</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satisfactory completion of an FDA pre-approval inspection of the facility or facilities at which the product is manufactured to assess compliance with the FDA’s current cGMP regulations to assure that the facilities, methods and controls are adequate to preserve the drug’s identity, strength, quality and purity;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6705"/>
                <wp:effectExtent l="0" t="0" r="0" b="0"/>
                <wp:wrapNone/>
                <wp:docPr id="22" name="Frame2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satisfactory completion of a potential review at a public FDA Advisory Committee meeting; which is a meeting of independent outside experts that provide advice and recommendations to the FDA; and</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FDA review and approval of the NDA.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preclinical and clinical testing and approval process takes many years and the actual time required to obtain approval, if any, may vary substantially based upon the type, complexity and novelty of the product or disease.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Preclinical tests include laboratory evaluation of product chemistry, formulation and toxicity, as well as animal studies to assess the characteristics and potential safety and efficacy of the product. The conduct of the preclinical tests must comply with federal regulations and requirements, including current GLP. The results of preclinical testing are submitted to the FDA as part of an IND application along with other information, including information about product chemistry, manufacturing and controls and a proposed clinical trial protocol. Long-term preclinical tests, such as animal tests of reproductive toxicity and carcinogenicity, may continue after the IND application is submitted.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IND application automatically becomes effective 30 days after receipt by the FDA, unless the FDA, within the 30-day time period, raises concerns or questions relating to one or more proposed clinical trials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application must also be made for each successive clinical trial conducted during product development. Further, an independent IRB, covering each site proposing to conduct the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 Clinical trials involve the administration of the investigational new drug to healthy volunteers or patients under the supervision of a qualified investigator in accordance with GCP requirements, which includes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an NDA submission and approval, human clinical trials are typically conducted in the following sequential phases, which may overlap or be combined:</w:t>
      </w:r>
    </w:p>
    <w:tbl>
      <w:tblPr>
        <w:tblW w:w="10205" w:type="dxa"/>
        <w:jc w:val="left"/>
        <w:tblInd w:w="0" w:type="dxa"/>
        <w:tblLayout w:type="fixed"/>
        <w:tblCellMar>
          <w:top w:w="28" w:type="dxa"/>
          <w:left w:w="28" w:type="dxa"/>
          <w:bottom w:w="28" w:type="dxa"/>
          <w:right w:w="28" w:type="dxa"/>
        </w:tblCellMar>
      </w:tblPr>
      <w:tblGrid>
        <w:gridCol w:w="229"/>
        <w:gridCol w:w="202"/>
        <w:gridCol w:w="203"/>
        <w:gridCol w:w="2887"/>
        <w:gridCol w:w="2768"/>
        <w:gridCol w:w="3916"/>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Phase</w:t>
            </w:r>
            <w:r>
              <w:rPr>
                <w:color w:val="000000"/>
              </w:rPr>
              <w:t xml:space="preserve"> </w:t>
            </w:r>
            <w:r>
              <w:rPr>
                <w:rFonts w:ascii="Times New Roman;sans-serif" w:hAnsi="Times New Roman;sans-serif"/>
                <w:b w:val="false"/>
                <w:color w:val="000000"/>
                <w:sz w:val="20"/>
              </w:rPr>
              <w:t>1</w:t>
            </w:r>
          </w:p>
        </w:tc>
        <w:tc>
          <w:tcPr>
            <w:tcW w:w="957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Phase 1, through the initial introduction of the drug into healthy human subjects or patients, the drug is tested to assess metabolism, pharmacokinetics, pharmacological actions, side effects associated with increasing doses, and, if possible, early evidence on effectiveness.</w:t>
            </w:r>
          </w:p>
        </w:tc>
      </w:tr>
      <w:tr>
        <w:trPr/>
        <w:tc>
          <w:tcPr>
            <w:tcW w:w="6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Phase</w:t>
            </w:r>
            <w:r>
              <w:rPr>
                <w:color w:val="000000"/>
              </w:rPr>
              <w:t xml:space="preserve"> </w:t>
            </w:r>
            <w:r>
              <w:rPr>
                <w:rFonts w:ascii="Times New Roman;sans-serif" w:hAnsi="Times New Roman;sans-serif"/>
                <w:b w:val="false"/>
                <w:color w:val="000000"/>
                <w:sz w:val="20"/>
              </w:rPr>
              <w:t>2</w:t>
            </w:r>
          </w:p>
          <w:p>
            <w:pPr>
              <w:pStyle w:val="TableContents"/>
              <w:bidi w:val="0"/>
              <w:spacing w:before="0" w:after="0"/>
              <w:jc w:val="left"/>
              <w:rPr/>
            </w:pPr>
            <w:r>
              <w:rPr/>
            </w:r>
          </w:p>
        </w:tc>
        <w:tc>
          <w:tcPr>
            <w:tcW w:w="957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Phase 2 usually involves trials in a limited patient population to determine the effectiveness of the drug for a particular indication, dosage tolerance and optimum dosage, and to identify common adverse effects and safety risks.</w:t>
            </w:r>
          </w:p>
        </w:tc>
      </w:tr>
      <w:tr>
        <w:trPr/>
        <w:tc>
          <w:tcPr>
            <w:tcW w:w="6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Phase</w:t>
            </w:r>
            <w:r>
              <w:rPr>
                <w:color w:val="000000"/>
              </w:rPr>
              <w:t xml:space="preserve"> </w:t>
            </w:r>
            <w:r>
              <w:rPr>
                <w:rFonts w:ascii="Times New Roman;sans-serif" w:hAnsi="Times New Roman;sans-serif"/>
                <w:b w:val="false"/>
                <w:color w:val="000000"/>
                <w:sz w:val="20"/>
              </w:rPr>
              <w:t>3</w:t>
            </w:r>
          </w:p>
          <w:p>
            <w:pPr>
              <w:pStyle w:val="TableContents"/>
              <w:bidi w:val="0"/>
              <w:spacing w:before="0" w:after="0"/>
              <w:jc w:val="left"/>
              <w:rPr/>
            </w:pPr>
            <w:r>
              <w:rPr/>
            </w:r>
          </w:p>
        </w:tc>
        <w:tc>
          <w:tcPr>
            <w:tcW w:w="9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 controlled Phase 3 clinical trials to demonstrate the efficacy of the drug. A single Phase 3 trial with other confirmatory evidence may be sufficient in rare instances where the study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Under federal law, the submission of most NDAs is subject to a substantial application user fee, and applicant under an approved NDA is also subject to an annual program fee for each prescription drug product, which beginning in Fiscal Year 2018 replaced the product and establishment fees.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NDA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PDUFA, the FDA has agreed to certain performance goals in the review of NDAs through a two-tiered classification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6705"/>
                <wp:effectExtent l="0" t="0" r="0" b="0"/>
                <wp:wrapNone/>
                <wp:docPr id="23" name="Frame2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system, Standard Review and Priority Review. Priority Review designation is given to drugs that offer major advances in treatment or provide a treatment where no adequate therapy exists. The FDA endeavors to review applications subject to Standard Review within ten to twelve months, whereas the FDA’s goal is to review Priority Review applications within six to eight months.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Before approving an NDA, the FDA will typically inspect one or more clinical sites to assure compliance with GCP requirements. The FDA will not approve the product unless it determines that the manufacturing process and facilities are in compliance with cGMP requirements and are adequate to assure consistent production of the product within required specifications and the NDA contains data that provide substantial evidence that the drug is safe and effective in the indication studied.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the FDA evaluates the NDA and the manufacturing facilities and possibly conducts a sponsor inspection, it issues either an approval letter or a complete response letter. A complete response letter generally outlines the deficiencies in the NDA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NDA, the FDA will issue an approval letter. The review by the FDA is two months for a Class I resubmission and six months for a Class 2 resubmission. An approval letter authorizes commercial marketing of the drug with specific prescribing information for specific indications.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NDA approval, the FDA may require a REMS to help ensure that the benefits of the drug outweigh the potential risks. If the FDA determines a REMS is necessary during review of the application, the drug sponsor must agree to the REMS plan at the time of approval. A REMS may be required to include various elements, such as a medication guide or patient package insert, a communication plan to educate healthcare providers of the drug’s risks, limitations on who may prescribe or dispense the drug, or other elements to assure safe use, such as special training or certification for prescribing or dispensing, dispensing only under certain circumstances, special monitoring and the use of patient registries. In addition, the REMS must include a timetable to periodically assess whether the REMS plan is effective. The requirement for a REMS can materially affect the potential market and profitability of a drug.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product approval may require substantial post-approval testing and surveillance to monitor the drug’s safety or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changes to some of the conditions established in an approved application, including changes in indications, labeling, or manufacturing processes or facilities, require submission and FDA approval of a new NDA or NDA supplement before the change can be implemented, which may require us to develop additional data or conduct additional preclinical studies and clinical trials. An NDA supplement for a new indication typically requires clinical data similar to that in the original application, and the FDA uses similar procedures in reviewing NDA supplements as it does in reviewing NDAs.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Post-Approval Requirements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Ongoing adverse event reporting and submission of periodic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and NDA specifications after approval. Drug manufacturers and certain of their subcontractors are required to register their establishments with FDA and obtain licenses from certain state agencies. Registration with the FDA subjects entities to periodic unannounced inspections by FDA, during which the agency inspects manufacturing facilities to assess compliance with cGMPs or other applicable laws, such as adverse event recordkeeping and reporting. Accordingly, manufacturers must continue to expend time, money, and training and compliance efforts in the areas of production and quality control to maintain compliance with cGMPs or other applicable laws, such as adverse event recordkeeping and reporting requirements. Regulatory authorities may require remediation, withdraw product approvals or request product recalls if a company fails to comply with regulatory standards, if it encounters problems following initial marketing, or if previously unrecognized problems or new concerns are subsequently discovered. In addition, other regulatory action, including, among other things, warning letters, the seizure of products, injunctions, consent decrees placing significant restrictions on or suspending manufacturing operations, civil penalties, and criminal prosecution may be pursued.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any distribution of prescription drug products must comply with the PDMA, a part of the FDCA. In addition, Title II of the Federal Drug Quality and Security Act of 2013, known as the DSCSA has imposed new “track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6705"/>
                <wp:effectExtent l="0" t="0" r="0" b="0"/>
                <wp:wrapNone/>
                <wp:docPr id="24" name="Frame2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trace” requirements on the distribution of prescription drug products by manufacturers, distributors, and other entities in the drug supply chain. These requirements are being phased in over a ten-year period. The DSCSA ultimately will require product identifiers (</w:t>
      </w:r>
      <w:r>
        <w:rPr>
          <w:rFonts w:ascii="Times New Roman;sans-serif" w:hAnsi="Times New Roman;sans-serif"/>
          <w:b w:val="false"/>
          <w:i/>
          <w:color w:val="000000"/>
          <w:sz w:val="20"/>
        </w:rPr>
        <w:t>i.e.</w:t>
      </w:r>
      <w:r>
        <w:rPr>
          <w:rFonts w:ascii="Times New Roman;sans-serif" w:hAnsi="Times New Roman;sans-serif"/>
          <w:b w:val="false"/>
          <w:color w:val="000000"/>
          <w:sz w:val="20"/>
        </w:rPr>
        <w:t>, serialization) on prescription drug products in order to establish an electronic interoperable prescription product system to identify and trace certain prescription drugs distributed in the United States. The DSCSA replaced the prior drug “pedigree” requirements under the PDMA and preempts existing state drug pedigree laws and regulations. The DSCSA also establishes new requirements for the licensing of wholesale distributors and third-party logistic providers. These licensing requirements preempt states from imposing licensing requirements that are inconsistent with, less stringent than, directly related to, or otherwise encompassed by standards established by the FDA pursuant to the DSCSA. Until the FDA promulgates regulations to address the DSCSA’s new national licensing standard, current state licensing requirements typically remain in effect.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The Hatch-Waxman Amendments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ANDA Approval Process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Hatch-Waxman Amendments established abbreviated FDA approval procedures for drugs that are shown to be equivalent to drugs previously approved by the FDA through its NDA process. Approval to market and distribute these drugs is obtained by submitting an ANDA to the FDA. An ANDA is a comprehensive submission that contains, among other things, data and information pertaining to the active pharmaceutical ingredient, drug product formulation, specifications and stability of the generic drug, as well as analytical methods, manufacturing process validation data and quality control procedures. Premarket applications for generic drugs are termed abbreviated because they generally do not include preclinical and clinical data to demonstrate safety and effectiveness. Instead, a generic applicant must demonstrate that its product is bioequivalent to the innovator drug.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 A product is not eligible for ANDA approval if the FDA determines that it is not equivalent to the referenced innovator drug, if it is intended for a different use, or if it is not subject to an approved Suitability Petition. However, such a product might be approved under an NDA, with supportive data from clinical trials.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505(b)(2) NDAs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an alternative path to FDA approval for modifications to formulations or uses of products previously approved by the FDA,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If the 505(b)(2) applicant can establish that reliance on FDA’s previous findings of safety and effectiveness is scientifically appropriate, it may eliminate the need to conduct certain preclinical or clinical studies of the new product. The FDA may also require companies to perform additional studies or measurements, including clinical trials, to support the change from the approved branded reference drug. The FDA may then approve the new product candidate for all, or some, of the label indications for which the branded reference drug has been approved, as well as for any new indication sought by the 505(b)(2) applicant.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Orange Book Listing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seeking approval for a drug through an NDA, including a 505(b)(2) NDA, applicants are required to list with the FDA certain patents with claims that cover the applicant’s product. Upon approval of an NDA, each of the patents listed in the application for the drug is then published in the Orange Book. Any applicant who files an ANDA seeking approval of a generic equivalent version of a drug listed in the Orange Book or a 505(b)(2) NDA referencing a drug listed in the Orange Book must certify to the FDA that (i) no patent information on the drug product that is the subject of the application has been submitted to the FDA; (ii) such patent has expired; (iii) the date on which such patent expires; or (iv) such patent is invalid or will not be infringed upon by the manufacture, use or sale of the drug product for which the application is submitted. This last certification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reference drug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The ANDA or 505(b)(2) application also will not be approved until any applicable non-patent exclusivity listed in the Orange Book for the branded reference drug has expired as described in further detail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6705"/>
                <wp:effectExtent l="0" t="0" r="0" b="0"/>
                <wp:wrapNone/>
                <wp:docPr id="25" name="Frame2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Non-Patent Exclusivity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patent exclusivity, the holder of the NDA for the listed drug may be entitled to a period of non-patent related exclusivity, during which the FDA cannot review, or in some cases, approve an ANDA or 505(b)(2) application that relies on the listed drug. For example, a company may obtain five years of non-patent exclusivity upon NDA approval of a new chemical entity, or NCE, which is a drug that contains an active moiety that has not been approved by the FDA in any other NDA. An “active moiety” is defined as the molecule or ion responsible for the drug substance’s physiological or pharmacologic action. During the five-year exclusivity period, the FDA cannot accept for filing any ANDA seeking approval of a generic version of that drug or any 505(b)(2) NDA for the same active moiety and that relies on the FDA’s findings regarding that drug, except that FDA may accept an application for filing after four years if the follow-on applicant makes a paragraph IV certification.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drug, including one approved under Section 505(b)(2), may obtain a three-year period of exclusivity for a particular condition of approval, or change to a marketed product, such as a new formulation of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for the protected modification until after that three-year exclusivity period has run. However, unlike NCE exclusivity, the FDA can accept an application and begin the review process during the exclusivity period.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Orphan Drug Designation and Exclusivity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Orphan Drug Act provides incentives for the development of products intended to treat rare diseases or conditions. 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If a sponsor demonstrates that a drug is intended to treat rare diseases or conditions, the FDA will grant orphan designation for that product for the orphan disease indication. Orphan designation must be requested before submitting an NDA. After the FDA grants orphan product designation, the identity of the therapeutic agent and its potential orphan use are disclosed publicly by the FDA. Orphan drug designation, however, does not convey any advantage in, or shorten the duration of, the regulatory review and approval process.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Orphan drug designation provides manufacturers with research grants, tax credits and eligibility for orphan drug exclusivity. If a product that has orphan drug designation subsequently receives the first FDA approval of the active moiety for that disease or condition for which it has such designation, the product is entitled to orphan drug exclusivity, which for seven years prohibits the FDA from approving another product with the same active ingredient for the same indication, except in limited circumstances. If a drug designated as an orphan product receives marketing approval for an indication broader than the orphan indication for which it received the designation, it will not be entitled to orphan drug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 As a result, even if one of our product candidates receives orphan exclusivity, we may still be subject to competition. Orphan exclusivity also could block the approval of one of our products for seven years if a competitor obtains approval of the same drug or if our product candidate is determined to be contained within the competitor’s product for the same indication or disease.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Anti-Kickback and False Claims Laws and Other Regulatory Matters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are subject to complex laws and regulations pertaining to healthcare “fraud and abuse,” including, but not limited to, the Federal Anti-Kickback Statute, the Federal False Claims Act, and other state and federal laws and regulations. 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Federal Anti-Kickback Statute. Some of these state prohibitions apply to the referral of patients for healthcare services reimbursed by any insurer, not just federal healthcare programs such as Medicare and Medicaid.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6705"/>
                <wp:effectExtent l="0" t="0" r="0" b="0"/>
                <wp:wrapNone/>
                <wp:docPr id="26" name="Frame2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found liable under the Federal False Claims Act in connection with their off-label promotion of drugs. Penalties for a False Claims Act violation include three times the actual damages sustained by the government, plus mandatory civil penalties of between $10,000 and $25,000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In addition, private individuals can bring actions under the Federal False Claims Act and certain states have enacted laws modeled after the Federal False Claims Act.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HIPAA also expanded and created several additional federal crimes, including healthcare fraud and false statements relating to healthcare matters. The healthcare fraud statute prohibits, among other things, knowingly and willfully executing a scheme to defraud any healthcare benefit program, including private third-party payors. The false statements statute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also an increasing number of state laws with requirements for manufacturers and/or marketers of pharmaceutical products. Some states require the reporting of expenses relating to the marketing and promotion of drug products and the reporting of gifts and payments to individual healthcare practitioners in these states. Other states prohibit various marketing-related activities, such as the provision of certain kinds of gifts or meals. Still other states require the reporting of certain pricing information, including information pertaining to and justification of price increases, or prohibit prescription drug price gouging. In addition, states such as California, Connecticut, Nevada, Massachusetts and the District of Columbia require pharmaceutical companies to implement compliance programs and/or marketing codes. Many of these laws contain ambiguities as to what is required to comply with the laws. In addition, as discussed below, a similar federal requirement requires manufacturers to track and report to the federal government certain payments made to physicians, physician assistants, nurse practitioners, clinical nurse specialists, certified nurse anesthetists, certified nurse-midwives and teaching hospitals made in the previous calendar year. In addition, given the lack of clarity with respect to these laws and their implementation, our reporting actions could be subject to the penalty provisions of the pertinent state, and soon federal, authorities.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Physician Payments Sunshine Act, implemented as the Open Payments Program, and its implementing regulations, requires certain manufacturers of drugs, devices, biologics and medical supplies that are reimbursable under Medicare, Medicaid, or the Children’s Health Insurance Program to report annually to CMS information related to certain payments made in the previous calendar year and other transfers of value to physicians, physician assistants, nurse practitioners, clinical nurse specialists, certified nurse anesthetists, certified nurse-midwives and teaching hospitals, as well as ownership and investment interests held by physicians and their immediate family members.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HIPAA, and its implementing regulations impose certain obligations on entities subject to the law, such as health plans and most healthcare providers, and their business associates who provide certain services involving the use or disclosure of HIPAA protected health information on their behalf, with respect to the privacy and security of such protected health information. Further, most states have enacted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such laws and regulations requires substantial resources. In addition, because of the breadth of these various fraud and abuse laws, it is possible that some of our business activities in the past could be subject to challenge under one or more of such laws. Such a challenge could have material adverse effects on our business, financial condition and results of operations. In the event governmental authorities conclude that our business practices did not comply with current or future statutes, regulations or case law involving applicable fraud and abuse or other healthcare laws and regulations, they may impose sanctions under these laws, which are potentially significant and may include civil monetary penalties, damages, exclusion of an entity or individual from participation in government health care programs, criminal fines and individual imprisonment, additional reporting requirements if we become subject to a corporate integrity agreement or other settlement to resolve allegations of violations of these laws, as well as the potential curtailment or restructuring of our operations. Further,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6705"/>
                <wp:effectExtent l="0" t="0" r="0" b="0"/>
                <wp:wrapNone/>
                <wp:docPr id="27" name="Frame2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contractual damages and reputational harm as result of such non-compliance. Even if we are not determined to have violated these laws, government investigations into these issues typically require the expenditure of significant resources and generate negative publicity.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International Regulation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regulations in the United States, we are and will be subject to a variety of foreign regulations regarding development, approval, commercial sales and distribution of our products.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 In the European Union, or EU, we may seek marketing authorization under either the centralized authorization procedure or national authorization procedures.</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Centralized procedure</w:t>
      </w:r>
      <w:r>
        <w:rPr>
          <w:rFonts w:ascii="Times New Roman;sans-serif" w:hAnsi="Times New Roman;sans-serif"/>
          <w:b w:val="false"/>
          <w:color w:val="000000"/>
          <w:sz w:val="20"/>
        </w:rPr>
        <w:t>. The European Medicines Agency, or EMA, implemented the centralized procedure for the approval of human medicines to facilitate marketing authorizations that are valid throughout the EU. This procedure results in a single marketing authorization issued by the European Commission following a favorable opinion by the EMA that is valid across the EU, as well as Iceland, Liechtenstein and Norway.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 For medicines that do not fall within these categories, an applicant has the option of submitting an application for a centralized marketing authorization to the EMA, as long as the medicine concerned is a significant therapeutic, scientific or technical innovation, or if its authorization would be in the interest of public health.</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National authorization procedures</w:t>
      </w:r>
      <w:r>
        <w:rPr>
          <w:rFonts w:ascii="Times New Roman;sans-serif" w:hAnsi="Times New Roman;sans-serif"/>
          <w:b w:val="false"/>
          <w:color w:val="000000"/>
          <w:sz w:val="20"/>
        </w:rPr>
        <w:t>. There are also two other possible routes to authorize medicinal products in several EU countries, which are available for investigational medicinal products that fall outside the scope of the centralized procedure: the decentralized procedure and the mutual recognition procedure. Under the decentralized procedure, an applicant may apply for simultaneous authorization in more than one EU country for medicinal products that have not yet been authorized in any EU country and that do not fall within the mandatory scope of the centralized procedure. Under the mutual recognition procedure, a medicine is first authorized in one EU Member State, in accordance with the national procedures of that country. Following a national authorization, the applicant may seek further marketing authorizations from other EU countries under a procedure whereby the countries concerned agree to recognize the validity of the original, national marketing authorization.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EU, medicinal products designated as orphan products benefit from financial incentives such as reductions in marketing authorization application fees or fee waivers and 10 years of market exclusivity following medicinal product approval. For a medicinal product to qualify as orphan: (i) it must be intended for the treatment, prevention or diagnosis of a disease that is life-threatening or chronically debilitating; (ii) the prevalence of the condition in the EU must not be more than five in 10,000 or it must be unlikely that marketing of the medicine would generate sufficient returns to justify the investment needed for its development; and (iii) no satisfactory method of diagnosis, prevention or treatment of the condition concerned can be authorized, or, if such a method exists, the medicine must be of significant benefit to those affected by the condition.</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United States Healthcare Reform</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Among policy makers and payors in the United States and elsewhere, there is significant interest in promoting changes in healthcare systems with the stated goals of containing healthcare costs, improving quality and/or expanding access. In the United States, PPACA substantially changed the way healthcare is financed by both governmental and private insurers and significantly impacted the pharmaceutical industry. Changes that may affect our business include those governing enrollment in federal healthcare programs, reimbursement changes, benefits for patients who have reached the “catastrophic coverage” out-of-pocket limit under the Medicare Part D prescription drug program, rules regarding prescription drug benefits under the health insurance exchanges, changes to the Medicaid Drug Rebate program, expansion of the Public Health Service’s 340B drug pricing discount program, or 340B program, fraud and abuse, and enforcement. These changes impacted existing government healthcare programs and are resulting in the development of new programs, including Medicare payment for performance initiatives and improvements to the physician quality reporting system and feedback program.</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states have elected not to expand their Medicaid programs to individuals with an income of up to 133% of the federal poverty level, as is permitted under the PPACA. For each state that does not choose to expand its Medicaid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6705"/>
                <wp:effectExtent l="0" t="0" r="0" b="0"/>
                <wp:wrapNone/>
                <wp:docPr id="28" name="Frame2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fewer insured patients overall, which could impact our sales of products for which we receive regulatory approval, business and financial condition. Where new patients receive insurance coverage under any of the new Medicaid options made available through the PPACA, the possibility exists that manufacturers may be required to pay Medicaid rebates on drugs used under these circumstances, a decision that could impact manufacturer revenues.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there have been numerous judicial, administrative, executive, and legislative challenges to certain aspects of the PPACA, and we expect there will be additional challenges and amendments to the PPACA in the future. While the United States Supreme Court has generally upheld the constitutionality of the PPACA, cases challenging its legal and constitutional validity continue to be heard by the Supreme Court. Executive Orders have been issued and repealed by successive presidential Administrations, making it uncertain what fiscal burdens might be placed on states, individuals, healthcare providers, health insurers, or manufacturers of pharmaceuticals or medical devices at any given time. In each session of Congress, bills have been introduced that might significantly expand, revise or repeal the PPACA. It is unclear whether the PPACA will be overturned, repealed, replaced, or further amended.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of 2022 (“IRA”), signed into law by President Biden, included a number of significant drug pricing reforms, which include the establishment of a drug price negotiation program within the HHS (beginning in 2026) that requires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 part of which requires manufacturers to provide discounts on Part D drugs starting in 2025. Congress has further indicated that they will continue to pursue new legislative and/or administrative measures to control drug costs, including price or patient reimbursement constraints, discounts, restrictions on certain access and marketing cost disclosure and transparency measures, and, in some cases, laws designed to encourage importation from other countries and bulk purchasing.</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Each recent presidential administration has enacted and repealed Executive Orders that have impacted prescription drug prices. In his first term, President Trump enacted Executive Orders directing the Secretary of HHS to eliminate protection under an Anti-Kickback Statute safe harbor for certain retrospective price reductions, ensure that payment by the Medicare program for certain Medicare Part B drugs is not higher than the payment by other comparable countries, allow certain low-income individuals purchase insulin and epinephrine, and implement a rulemaking plan to test a payment model, pursuant to which Medicare would receive most-favored-nation prices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the lowest price) for certain pharmaceutical products. President Biden enacted Executive Orders to, among other things, reduce barriers to the PPACA marketplace, increase the affordability of the marketplace and increase eligibility for and coverage from the marketplace and Medicaid. On the first day of President Trump’s second term, he revoked many of President Biden’s Executive Orders, including such Orders impacting Medicaid and the PPACA. It is difficult at this time to predict what future executive or legislative initiatives may impact drug pricing.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healthcare reform measures that may be adopted in the future could have a material adverse effect on our industry generally and on our ability to maintain or increase sales of products for which we receive regulatory approval or to successfully commercialize our product candidates, if approved.</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Coverage and Reimbursement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The commercial success of our products and product candidates, if and when approved, is partially dependent on the availability of coverage and adequate reimbursement from public (</w:t>
      </w:r>
      <w:r>
        <w:rPr>
          <w:rFonts w:ascii="Times New Roman;sans-serif" w:hAnsi="Times New Roman;sans-serif"/>
          <w:b w:val="false"/>
          <w:i/>
          <w:color w:val="000000"/>
          <w:sz w:val="20"/>
        </w:rPr>
        <w:t>i.e.</w:t>
      </w:r>
      <w:r>
        <w:rPr>
          <w:rFonts w:ascii="Times New Roman;sans-serif" w:hAnsi="Times New Roman;sans-serif"/>
          <w:b w:val="false"/>
          <w:color w:val="000000"/>
          <w:sz w:val="20"/>
        </w:rPr>
        <w:t>, federal and state government) and private (</w:t>
      </w:r>
      <w:r>
        <w:rPr>
          <w:rFonts w:ascii="Times New Roman;sans-serif" w:hAnsi="Times New Roman;sans-serif"/>
          <w:b w:val="false"/>
          <w:i/>
          <w:color w:val="000000"/>
          <w:sz w:val="20"/>
        </w:rPr>
        <w:t>i.e.</w:t>
      </w:r>
      <w:r>
        <w:rPr>
          <w:rFonts w:ascii="Times New Roman;sans-serif" w:hAnsi="Times New Roman;sans-serif"/>
          <w:b w:val="false"/>
          <w:color w:val="000000"/>
          <w:sz w:val="20"/>
        </w:rPr>
        <w:t>, commercial) payors. These third</w:t>
        <w:noBreakHyphen/>
        <w:t>party payors may deny coverage or reimbursement for a product or therapy, either in whole or in part, if they determine that the product or therapy was not medically appropriate or necessary. Also, third</w:t>
        <w:noBreakHyphen/>
        <w:t>party payors will continue to control costs by limiting coverage through the use of formularies and other cost</w:t>
        <w:noBreakHyphen/>
        <w:t>containment mechanisms, and the amount of reimbursement for particular procedures or drug treatments.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the cost of pharmaceuticals continues to generate substantial governmental and third</w:t>
        <w:noBreakHyphen/>
        <w:t>party payor interest. We expect that the pharmaceutical industry will continue to experience pricing pressures, given the trend toward managed healthcare, the increasing influence of managed care organizations, and additional regulatory and legislative proposals. Our results of operations and business could be adversely affected by current and future third</w:t>
        <w:noBreakHyphen/>
        <w:t>party payor policies, as well as healthcare legislative reforms.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discounted pricing or rebates on purchases of pharmaceutical products must be offered under various federal and state healthcare programs, including: the Centers for Medicare &amp; Medicaid Services’ Medicaid Drug Rebate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6705"/>
                <wp:effectExtent l="0" t="0" r="0" b="0"/>
                <wp:wrapNone/>
                <wp:docPr id="29" name="Frame2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Program, Medicare Part B Program and Medicare Part D Manufacturer Discount Programs, the U.S. Department of Veterans Affairs’ Federal Supply Schedule Program, and the Health Resources and Services Administration’s 340B Drug Pricing Program. Specific prices must be reported to government agencies under healthcare programs, such as the Medicaid Drug Rebate Program. The calculations necessary to determine the prices reported are complex and the failure to report prices accurately may expose us to penalties.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third</w:t>
        <w:noBreakHyphen/>
        <w:t>party payors may have cost</w:t>
        <w:noBreakHyphen/>
        <w:t>containment measures to be adopted or implemented in the future, including any changes to any Medicare reimbursement program, these requirements or any announcement or adoption of such proposals could have a material adverse effect on our ability to obtain adequate prices for our product candidates and to operate profitably.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international markets, reimbursement and healthcare payment systems vary significantly by country, and many countries have instituted price ceilings on specific products and therapies. There can be no assurance that our products and product candidates will be considered medically reasonable and necessary for a specific indication, that our products and product candidates will be considered cost</w:t>
        <w:noBreakHyphen/>
        <w:t>effective by third</w:t>
        <w:noBreakHyphen/>
        <w:t>party payors, that an adequate level of reimbursement will be available, or that the third</w:t>
        <w:noBreakHyphen/>
        <w:t>party payors’ reimbursement policies will not adversely affect our ability to sell our products and product candidates, if approved, profitably.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these programs is discussed under the heading “If we are unable to achieve and maintain adequate levels of coverage and reimbursement for our products or product candidates, if approved, their commercial success may be severely hindered” in the “Risk Factors” section of this Annual Report on Form 10-K.</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Other Regulation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laws and regulations regarding laboratory practices, the experimental use of animals, and the use and disposal of hazardous or potentially hazardous substances in connection with our research. While we believe we are in compliance with applicable environmental and other regulations, in each of these areas, as above, the FDA and other government agencies have broad regulatory and enforcement powers, including, among other things, the ability to levy fines and civil penalties, suspend or delay issuance of approvals, seize or recall products, and withdraw approvals, any one or more of which could have a material adverse effect on us.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employed approximately 142 colleagues. All of our colleagues were employed in the U.S. Of these colleagues, 22 are directly involved in research and development, 93 are involved in manufacturing operations, and 27 are involved in business development and general and administrative activities. Our colleagues are not represented by a labor union. </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Culture and Colleagues Engagement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colleagues are an essential element of our strategy and critical to our continued success. Our corporate values – safety, compliance, collaboration, integrity and high performance are built on the foundation that the colleagues we hire, the steps we use to engage them and the way we treat one another promote the creativity, innovation and productivity that spurs Aquestive's success.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Supporting that philosophy, our management team is responsible for ensuring that our policies and procedures reflect and reinforce our desired corporate culture including policies and procedures related to risk management, ethics and compliance.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engage advisors to ensure that we design, plan and execute competitive compensation strategies and benefit programs to help us attract and retain a diverse workforce with the appropriate skills and talent that drive the organization’s success. We also engage our colleagues in important dialogue regarding organizational performance and reward our colleagues accordingly to create a successful and attractive workplace. We are committed to creating a culture of inclusion in which all colleagues have the opportunity to be heard, make an impact and thrive.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Colleagues’ Health, Wellness and Safety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well-being of our colleagues is a top priority, and we are committed to creating a safe and healthy workplace. We provide ongoing training in support of that commitment.</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Environmental Safety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few environmental risks but are committed to be part of the global solution. We run environmentally responsible laboratory waste collection, recycling and disposal programs. We educate and encourage our colleagues to be environmentally responsible. As of December 31, 2024, we were in compliance with government and environmental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6705"/>
                <wp:effectExtent l="0" t="0" r="0" b="0"/>
                <wp:wrapNone/>
                <wp:docPr id="30" name="Frame2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file with or submit to the SEC our annual, quarterly, periodic and current reports, proxy statements and other information meeting the informational requirements of the Exchange Act. We make available, free of charge, on our website our proxy statement, annual report on Form 10-K, quarterly reports on Form 10-Q, current reports on Form 8-K and amendments to those reports and other publicly filed information available as soon as reasonable practicable after we electronically file such material with, or furnish it to the SEC. Our Internet address where these documents and other information can be found is https//aquestive.com. Information contained on our website is not incorporated by reference into this Annual Report, and you should not consider that information to be part of this Annual Report. Our annual, quarterly, periodic and current reports, proxy statements and other public filings are also available free of charge on the EDGAR Database on the SEC’s Internet website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Investing in our common stock involves significant risk and investors should carefully consider the risks described below, together with all other information included or referenced in this Annual Report on Form 10-K. There are numerous and varied risks, known and unknown, that may prevent us from achieving our goals. The risks described below are not the only ones we will face. In addition to the other information in this Annual Report on Form 10-K, any of the factors set forth below could significantly and negatively affect our business, financial condition, results of operations or prospects and the trading price of our stock. This section contains forward-looking statements. You should refer to the explanation of the qualifications and limitations on forward-looking statements at the beginning of this Annual Report on Form 10-K. </w:t>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Material risks that may affect our business, operating results and financial condition include, but are not necessarily limited to, those relating to:</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need to raise substantial funds in the future to fund our operations. These funds may not be available on acceptable terms or at all and our ability to fund the execution of our business objectives cannot be assured. A failure to obtain this necessary capital when needed could force us to delay, limit, scale back or cease some or all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have incurred significant operating losses since inception and cannot assure you that we will ever achieve or sustain profitability;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fail to obtain regulatory approvals to market our products in the United States or in other countries;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Libervant for ARS patients aged between two and five years being blocked from remaining in the U.S. market due to a competitor’s orphan drug market exclusivity status;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development of pharmaceutical products involves a lengthy and expensive process, with an uncertain outcome. We may incur additional costs or experience delays in completing, or ultimately be unable to complete, the development and commercialization of any product;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our competitors are better able to develop products for the diagnosis and treatment of diseases of the central nervous system and the treatment for anaphylaxis that are safer, more effective, less costly, easier to use or otherwise more attractive than our PharmFilm technology, our business will be adversely impacted;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even if our product candidates are approved for commercial sale, if we are unable to develop a sales and marketing infrastructure, we may not be successful in commercializing our products in the United States;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commercialize our product candidates will depend in part on the extent to which reimbursement will be available from government and health administration authorities, private health maintenance organizations and health insurers, and other healthcare payors;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any delays or changes to the timing, cost and success of clinical trials for Anaphylm and our other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failure to generate sufficient data in our PK and PD comparability submission for FDA approval of Anaphylm;</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have entered into, and may enter into collaborations, licensing arrangements, joint ventures, strategic alliances or partnerships with third-parties that may not result in the development of commercially viable products or the generation of significant future revenues;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are and will be dependent on third-party CROs to conduct all of our clinical trials. If these third parties do not successfully carry out their contractual duties or regulatory obligations or meet expected deadlines, if the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any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6705"/>
                <wp:effectExtent l="0" t="0" r="0" b="0"/>
                <wp:wrapNone/>
                <wp:docPr id="31" name="Frame2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future success depends on our ability to retain key executives and to attract, retain and motivate qualified personnel;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protect our intellectual property and proprietary technology is uncertain;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subject to damages resulting from claims that we, or our colleagues, have wrongfully used or disclosed alleged trade secrets of our competitors or are in breach of non-competition or non-solicitation agreements with our competitors;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if we issue more shares of our Common Stock to raise capital, our current stockholders will incur substantial dilution;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we may be subject to damages resulting from litigation matters currently pending against Aquestive;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cybersecurity continues to affect businesses and could cause business interruption;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adverse developments affecting the financial services industry which could adversely affect our current and projected business operations and our financial condition and results of operations. </w:t>
      </w: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Need for Additional Capital</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losses since our inception and anticipate that we will continue to incur significant losses for the foreseeable future and may never achieve or maintain profitability.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product candidates will require substantial additional development time and resources before we are able to receive regulatory approvals, implement commercialization infrastructure and strategies, or license product out to begin generating revenue from product sales or royalty streams. Our current product candidates are still in their early stages, and we may not generate substantial revenue from sales or royalties of our product candidates in the near term, if ever.</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devoted most of our financial resources to product development. To date, we have financed our operations primarily through the sale of equity and debt securities, proceeds from our debt facilities, and from revenues from certain product licenses and collaborations. The extent of future net losses will depend, in part, on the rate of future expenditures and our ability to generate revenue.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regulatory approval process, and commercialization of drug candidates involve significant risk and significant uncertainty, including matters over which we have no control. Because of the numerous risks and uncertainties associated with pharmaceutical product development, we are unable to fully predict the timing or amount of our expenses. We expect to incur substantial expenses going forward, which we expect will increase as we expand our development activities and product portfolio. Some of the expenses we expect to incur going forward include: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conducting clinical trials of our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seeking regulatory approval for any of our product candidates that successfully complete clinical development;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maintaining, expanding and protecting our intellectual property portfolio;</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acquiring or in-licensing new technologies or development-stage or approved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activities related to pre-commercialization and commercialization of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adding clinical, scientific, operational, financial, and management information systems personnel, including personnel to support our product development and to support our operations as a public company;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experiencing incremental costs due to delays or encountering any issues with any of the above, including, but not limited to, failed or not fully successful trials, complex results, safety issues or other regulatory challenges.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net losses for at least the next few years as we pursue the development efforts and commercialization of our product candidates. Our net losses may fluctuate significantly from period to period, depending on regulatory approval developments concerning our product candidates, the timing of our planned clinical trials and expenditures on our other research and development. We expect our expenses will continue to be substantial in 2025 and future periods as we continue to:</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clinically develop Anaphylm and provide supporting data needed for market approval from the FDA, anticipated NDA submission, pre-commercialization preparations including manufacturing and regulatory inspections and commercialization activities;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seek licensing and other transactions of our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engage with the FDA to overcome the present stay on Libervant entering the U.S. market due to a competitor’s orphan drug market exclusivity status: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commercialize Libervant for ARS patients between two and five years of age;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clinical development of our product candidate AQST-108.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6705"/>
                <wp:effectExtent l="0" t="0" r="0" b="0"/>
                <wp:wrapNone/>
                <wp:docPr id="32" name="Frame3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manage the timing and level of expenses in light of the declining Suboxone revenues, while focusing on the development and commercialization of Anaphylm.</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will need substantial additional capital to fund our operations, which may not be available on acceptable terms, if at all.</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cash requirements for 2025 and beyond include expenses related to continuing development and clinical evaluation of our products, manufacture and supply costs, costs of regulatory filings, patent prosecution expenses and litigation expenses, expenses related to commercialization of our products, as well as costs to comply with the requirements of being a public company operating in a highly regulated industry. As of December 31, 2024, we had $71.5 million of cash and cash equivalents.</w:t>
      </w:r>
    </w:p>
    <w:p>
      <w:pPr>
        <w:pStyle w:val="TextBody"/>
        <w:bidi w:val="0"/>
        <w:spacing w:lineRule="auto" w:line="288" w:before="0" w:after="60"/>
        <w:ind w:left="0" w:right="0" w:firstLine="720"/>
        <w:jc w:val="both"/>
        <w:rPr/>
      </w:pPr>
      <w:r>
        <w:rPr>
          <w:rFonts w:ascii="Times New Roman;sans-serif" w:hAnsi="Times New Roman;sans-serif"/>
          <w:b w:val="false"/>
          <w:color w:val="000000"/>
          <w:sz w:val="20"/>
        </w:rPr>
        <w:t xml:space="preserve">Capital may be available under our ATM facility, which we initially established in 2019, and under which, from time to time, we may offer and sell shares of our Common Stock pursuant to the Amended Equity Distribution Agreement with Piper Sandler &amp; Co.. On April 3, 2024, we filed a new shelf registration statement on Form S-3 (the "2024 Registration Statement"), which was declared effective by the SEC on April 23, 2024. Included in the 2024 Registration Statement are: (i) a base prospectus registering the offer, issuance and sale of up to $250,000 worth of Common Stock, preferred stock, debt securities, warrants, rights and units and (ii) the $100,000 ATM facility prospectus. The remaining authorized balance of the ATM facility was $100,000 as of December 31, 2024. For additional information regarding shares sold under the ATM facility subsequent to December 31, 2024, see Management’s Discussion and Analysis of Financial Condition and Results of Operations – Liquidity and Capital Resources and Part II Item 8. Financial Statements and Supplementary Data, Note 24, </w:t>
      </w:r>
      <w:r>
        <w:rPr>
          <w:rFonts w:ascii="Times New Roman;sans-serif" w:hAnsi="Times New Roman;sans-serif"/>
          <w:b w:val="false"/>
          <w:i/>
          <w:color w:val="000000"/>
          <w:sz w:val="20"/>
        </w:rPr>
        <w:t>Subsequent Events.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a Purchase Agreement with Lincoln Park, under which, from time to time, we may cause Lincoln Park to purchase shares of our Common Stock. The Purchase Agreement with Lincoln Park has approximately an equivalent to 6,486,623 shares available for purchase at December 31, 2024. For the years ended December 31, 2024 and 2023, we did not sell shares in connection with the Lincoln Park Purchase Agreement. We have no current intent to use the Lincoln Park facility and the Lincoln Park Purchase agreement will expire on April 12, 2025.</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we reduced our debt payment obligations when we issued (the “Offering”) $45,000 aggregate principal amount of our 13.5% Notes. A portion of the net proceeds from the Offering was used to redeem all of the outstanding 12.5% Notes and to pay expenses relating to the Offering, with the balance of the proceeds to be used for general corporate purposes. Interest on the 13.5% Notes accrues at a rate of 13.5% per annum and is payable quarterly in arrears on March 30, June 30, September 30 and December 30 of each year (each, a “Payment Date”). The 13.5% Notes are interest only until June 30, 2026, whereupon on such date and each Payment Date thereafter, we will also pay an installment of principal of the 13.5% Notes pursuant to a fixed amortization schedule, along with a portion of an Exit Fee determined as of the applicable date of prepayment, payment, acceleration, repurchase or redemption, as the case may be.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Until we become profitable, if ever, we expect to need to raise significant additional capital in the future through equity or debt issuances, or both, to continue to manage our expenses to extend our capital runway, in order to further the development, and regulatory approval of our products and product candidates, and to conduct our business. We have no committed sources of additional capital, and there can be no assurance that such needed capital or debt financing will be available or available on favorable terms, or at all. We may seek to obtain additional capital in the future through the issuance of our Common Stock, through other public or private equity or debt financings, through potential non-dilutive capital raising events that may result from royalty streams that may be realizable from our licensed products or licensed intellectual property, through collaborations or licensing arrangements with other companies, and through the sale of assets, including product, product candidates, plants or other tangible assets, or by other means, if available. We may not be able to raise additional capital or other funding on terms acceptable to us, or at all, and any failure to raise capital as and when needed could compromise our ability to execute on our business plan and cause us to delay or curtail our operations until such funding is received. To the extent that we raise additional funds by issuance of equity securities, our stockholders would experience dilution, and debt financings, if available (and subject to all of the existing restrictions and conditions under our debt instruments) may involve increased restrictive covenants and increased fixed payments or may otherwise further constrain our financial flexibility. We also may seek outlicensing opportunities for our proprietary products and product candidate programs that we currently plan to self-commercialize, including for Libervant and Anaphylm, or explore other potential liquidity options or strategic opportunities. Such strategic opportunities could include asset sales, outlicensing or other monetization opportunities of our proprietary products and product candidates, including Libervant and Anaphylm, although we cannot assure that any of these actions or opportunities would be available or available on available on terms acceptable to us. While an outlicensing of our proprietary products and product candidates, if approved by the FDA, could limit our exposure to the costs of commercialization of the product and provide a potential source of royalty and milestone revenues, the benefit from the potential of additional future value that could result from our independent commercialization of these products and product candidates, assuming a successful launch of our proprietary products and product candidates, if approved by the FDA, would likely be limited. To the extent that we raise additional funds through collaborative or licensing arrangements, it may be necessary to relinquish some rights to our intellectual property or grant licenses on terms that are not favorable to us. In addition, payments made by potential collaborators or licensees generally will depend upon our achievement of negotiated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6705"/>
                <wp:effectExtent l="0" t="0" r="0" b="0"/>
                <wp:wrapNone/>
                <wp:docPr id="33" name="Frame3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regulatory and sales milestones. Failure to achieve these milestones may harm our future capital position. In addition, in the event of any such asset sales or outlicensing transactions, the future growth of the Company would be dependent on continued successful development of our early stage product candidates and/or asset acquisitions or other strategic transactions for the Company.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adequate funds are not available for our liquidity needs and cash requirements, as and when needed, from the sources referred to above or otherwise, or at all,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future commercialization efforts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including asset sales, although we cannot assure that any of these actions would be available or available on reasonable terms. If we do not have sufficient funds to continue operations, we could be required to seek bankruptcy protection or other alternatives that would likely result in our stockholders losing most, if not all, of their investment in Aquestive.</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may sell additional equity, incur debt or raise funds through licensing arrangements to fund our operations, which may result in dilution to our stockholders, impose restrictions on our business or require us to relinquish proprietary rights.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Aquestive has experienced a history of net losses and our accumulated deficits totaled $363.2 million as of December 31, 2024. The net losses and accumulated deficits were partially offset by gross margins from sales of commercialized licensed and proprietary products, license fees, milestone and royalty payments from commercial licensees and co-development parties.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we began utilizing the ATM facility. For the year ended December 31, 2024, we sold 4,557,220 shares which provided net proceeds of approximately $11.8 million, after deducting commissions and other transaction costs of $0.6 million.</w:t>
      </w:r>
    </w:p>
    <w:p>
      <w:pPr>
        <w:pStyle w:val="TextBody"/>
        <w:bidi w:val="0"/>
        <w:spacing w:lineRule="auto" w:line="288" w:before="0" w:after="60"/>
        <w:ind w:left="0" w:right="0" w:firstLine="720"/>
        <w:jc w:val="both"/>
        <w:rPr/>
      </w:pPr>
      <w:r>
        <w:rPr>
          <w:rFonts w:ascii="Times New Roman;sans-serif" w:hAnsi="Times New Roman;sans-serif"/>
          <w:b w:val="false"/>
          <w:color w:val="000000"/>
          <w:sz w:val="20"/>
        </w:rPr>
        <w:t xml:space="preserve">On April 3, 2024, we filed the "2024 Registration Statement", which was declared effective by the SEC on April 23, 2024. Included as part of the 2024 Registration Statement are: (i) a base prospectus registering the offer, issuance and sale of up to $250,000 worth of Common Stock, preferred stock, debt securities, warrants, rights and units and (ii) the $100,000 ATM facility prospectus. The remaining authorized balance of the ATM facility was $100,000 as of December 31, 2024. For additional information regarding shares sold under the ATM facility subsequent to December 31, 2024, see Management’s Discussion and Analysis of Financial Condition and Results of Operations – Liquidity and Capital Resources and Part II Item 8. Financial Statements and Supplementary Data, Note 24,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Until such time, if ever, that we can generate sufficient revenue to fully fund our operations, we would need to seek additional capital and cash resources through public or private equity or debt financings, third-party funding, marketing and distribution arrangements, as well as other collaborations, strategic alliances and licensing arrangements, or any combination of these approaches. To the extent that we raise additional capital through the sale of equity or convertible debt securities, the stockholders' existing ownership interest will be diluted, and the terms may include liquidation or other preferences that adversely affect the rights of existing stockholders. Debt financings may be coupled with an equity component, such as warrants to purchase shares of our common stock, which could also result in dilution of existing stockholders’ ownership. The incurrence of additional indebtedness would result in increased fixed payment obligations and could also result in certain increased restrictive covenants (most, if not all, of which currently exist under our existing debt facilities), such as limitations on our ability to incur additional debt, limitations on our ability to acquire or license intellectual property rights or sell assets, and other operating restrictions that could adversely impact our ability to conduct our business and continue to result in liens being placed on all of our assets and intellectual property. If we were to default on such indebtedness, we could lose all such assets and intellectual property and our ability to operate our business.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through collaborations, or strategic alliance, marketing, distribution or licensing arrangements with third parties, we may need to relinquish valuable rights to our technologies, product candidates or future revenue streams or grant licenses on terms that are not favorable to us.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Even if we can generate revenues from our operations in the future, our revenues and operating income are likely to fluctuate significantly from year-to-year or quarter-to-quarter and create volatility in our stock price.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able to generate future revenues, our results of operations would likely continue to vary significantly from year-to-year and quarter-to-quarter. Variations may result from, among other factors: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timing of FDA or any other regulatory approval, delay in any FDA or other regulatory approvals, or failure to obtain any such FDA or other regulatory approvals;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competitor’s product candidates obtaining FDA or other regulatory approval, which may include orphan drug market exclusivity for seven years in the U.S., before our product has received any such regulatory approval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6705"/>
                <wp:effectExtent l="0" t="0" r="0" b="0"/>
                <wp:wrapNone/>
                <wp:docPr id="34" name="Frame3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or orphan drug exclusivity, or obtaining other FDA marketing exclusivity that blocks U.S. market access for our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timing of process validation for particular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the timing of addressing any additional data required to obtain FDA approval of Anaphylm and delays as a result thereof;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the timing of and the amount we spend to research, develop, acquire, license or promote new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timing, amount we spend on, and outcome of our research, development, preclinical studies and clinical trial programs;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serious or unexpected health or safety concerns related to our products or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introduction of new branded and generic products by others that render our product candidates obsolete, subject to greater competition or noncompetitive;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maintain selling prices and gross margins on our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coverage and reimbursement policies of health plans and other health insurers, including changes to Medicare, Medicaid and similar government healthcare programs;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comply with complex governmental regulations applicable to many aspects of our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increases in the cost of raw materials used to manufacture our products and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manufacturing and supply interruptions, including product rejections or recalls due to failure to comply with manufacturing specifications or current Good Manufacturing Practices;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timing of revenue recognition related to our collaboration agreements;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fund the commercialization of, commence a commercial operation, and actually commercialize our proprietary products and product candidates, if approved by the FDA;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and the significant cost to protect our intellectual property and avoid infringing the intellectual property of others and any adverse developments in any related legal proceeding or in other legal proceedings of any nature;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outcome and cost of existing or possible future litigation with third parties.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level of indebtedness and significant debt service obligations could constrain our ability to invest in our business and make it more difficult for us to fund our operations.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substantial debt and substantial debt service obligations. At December 31, 2024, we had an aggregate principal amount of $45.0 million of outstanding indebtedness, represented by the 13.5% Notes. In the future, we will need to raise additional funds.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our indebtedness: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have difficulty satisfying our obligations with respect to our existing indebtedness including the repayment of such indebtedness;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have difficulty obtaining financing in the future (and we have substantial restrictions on incurring any additional indebtedness under our current debt instruments) for working capital, capital expenditures, acquisitions or other purposes;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will need to use a substantial portion of our available cash flow to pay interest and principal on our debt, which will reduce the amount of money available to finance our operations and other business activities;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more vulnerable to general economic downturns and adverse industry conditions;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cash flow from revenues from licensed product or collaborative arrangements are insufficient to satisfy our obligations with respect to our existing indebtedness, we may be forced to seek to sell assets (subject to obtaining consent under the Indenture) or seek additional capital, which we may not be able to accomplish on favorable terms, if at all;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could be limited in our flexibility in planning for, or reacting to, changes in our business and in our industry in general;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could be placed at a competitive disadvantage compared to our competitors that have less debt, less debt restriction or less restrictive debt covenants;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failure to comply with the financial and other restrictive covenants in our debt instruments which, among other things, limits our ability to incur additional debt and sell or dispose of assets, could result in an event of default that, if not cured or waived, would have a material adverse effect on our business or prospects;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6705"/>
                <wp:effectExtent l="0" t="0" r="0" b="0"/>
                <wp:wrapNone/>
                <wp:docPr id="35" name="Frame3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tangible and intangible assets, including our intellectual property, are subject to first priority liens and may be used to satisfy our outstanding debt.</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satisfy our current and future debt service obligations with our existing cash and cash equivalents and potential access to other funding. However, we may not have sufficient funds, and may be unable to arrange for additional financing, to pay the amounts due under the Indenture and 13.5% Notes or any other debt instruments we may enter into. Failure to make required debt service payments or comply with other covenants under our existing debt facilities or such other debt instruments would result in an event of default and acceleration of amounts due, which would have a material adverse effect on our business, financial condition and results of operations.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are dependent upon the commercial success of our licensed and proprietary products and other licensing activities to generate revenue for the near future.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are in the process of testing and developing proprietary product candidates and may seek to acquire rights in other approved drugs, we anticipate that our ability to generate revenue and to become profitable in the near future will depend upon the continued commercial success of Sympazan, Suboxone and Azstarys in the U.S., the continued commercial success of Ondif in Brazil and Emylif in the EU, and our ability to commercialize our product Libervant for pediatric patients between two and five years of age. Further, there is no assurance that we will become commercially successful to the extent necessary to become profitable. If our current products are not commercially successful, our ability to generate manufacturing and sale margins and licensing or royalty revenues will be impaired. Without those revenues, our ability to continue planned development initiatives and commercialization efforts would be limited. Due to our dependence on the commercial success of our products, delays or setbacks in the commercial success of any of these products would likely materially adversely affect our business, prospects, results and operations and financial consideration.</w:t>
      </w:r>
    </w:p>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A substantial portion of our revenues is derived from a single customer and license and any loss or material reduction in revenues from such significant customer would adversely affect our business.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a substantial portion of our revenues in each quarter and year has been derived from a single customer and this trend is expected to continue while we continue to develop, seek regulatory approval of and seek to commercialize our proprietary products and product candidates. If revenues from such key customer were to decline significantly, it would materially adversely affect our business, financial condition and results of operations. Indivior accounted for approximately 62% and 80% of our revenues for 2024 and 2023, respectively, and we believe in the future will continue to account for a substantial part of our revenues.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Indivior License Agreement under which we manufacture and supply Suboxone to Indivior on an exclusive basis, may be terminated should certain causes or events occur. For example, either party to the Indivior License Agreement may terminate the relationship in connection with a material breach by the other party of its contractual obligations. Indivior may also terminate the Indivior License Agreement if the FDA or other applicable regulatory authority declares our manufacturing site to no longer be suitable for the manufacture of Suboxone or Suboxone is no longer suitable to be manufactured due to health or safety reasons. In addition, the Indivior Licensing Agreement currently has a one-year term, subject to automatic one-year renewals unless either party provides the other party with twelve months’ prior notice of non-renewal. As a result, there can be no assurance that either party will not terminate the Indivior License Agreement either due to any future breach of obligation, other termination cause or event, or notice of non-renewal. Any such termination would have a material adverse impact on our business, results of operations, capital position and prospects.</w:t>
      </w:r>
    </w:p>
    <w:p>
      <w:pPr>
        <w:pStyle w:val="TextBody"/>
        <w:bidi w:val="0"/>
        <w:spacing w:lineRule="auto" w:line="288" w:before="0" w:after="6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Although Suboxone has continued to retain meaningful market share, we expect erosion of this sunsetting branded product over time, which will further affect our total revenues and our results from operations.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Indivior is a party to a number of lawsuits alleging Indivior engaged in deceptive and misleading marketing and distribution practices in its distribution and sale of Suboxone and seeking a monetary relief. We cannot assess whether this settlement and disposition will have a material adverse financial impact on our business, prospects, liquidity, financial condition and operating results.</w:t>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Risks Related to Development and Commercialization of Our Products and Product Candidates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if Libervant market access for ARS patients between two and five years of age is blocked.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2022, the FDA provided an approvable letter for Libervant that stated that Libervant was not cleared for U.S. market access until the orphan drug market exclusivity for Valtoco, a competing nasal spray product, ends in January 2027. On April 29, 2024, we announced that the FDA approved U.S. market access for Libervant in ARS patients between two to five years of age.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2024, Neurelis, Inc., the maker of Valtoco, filed a complaint in the U.S. District Court for the District of Columbia against the FDA, HHS, and certain government officials. The complaint in this matter alleges that the defendants violated the Administrative Procedure Act by approving Aquestive’s NDA for Libervant® for ARS patients aged between two and five years, and asked the court to vacate that approval and enjoin the defendants from approving Libervant for this pediatric patient population until January 10, 2027, the scheduled date for the expiration of the ODE granted for Valtoco by the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06705"/>
                <wp:effectExtent l="0" t="0" r="0" b="0"/>
                <wp:wrapNone/>
                <wp:docPr id="36" name="Frame3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Times New Roman;sans-serif" w:hAnsi="Times New Roman;sans-serif"/>
          <w:b w:val="false"/>
          <w:color w:val="000000"/>
          <w:sz w:val="20"/>
        </w:rPr>
        <w:t xml:space="preserve">Aquestive intervened in the litigation to defend the approval of Libervant for this pediatric patient population. </w:t>
      </w:r>
      <w:r>
        <w:rPr>
          <w:rFonts w:ascii="Times New Roman;sans-serif" w:hAnsi="Times New Roman;sans-serif"/>
          <w:b w:val="false"/>
          <w:color w:val="000000"/>
          <w:sz w:val="20"/>
          <w:shd w:fill="FFFFFF" w:val="clear"/>
        </w:rPr>
        <w:t xml:space="preserve">The Company's motion for a stay of the District Court's order granting Neurelis' motion for summary Judgment is pending. The Company also filed an appeal of the District Court's order with the U.S. District Court of Appeals for the District of Columbia. The Company has also submitted a request to the FDA that the FDA determines that Libervant for ARS patients between the ages of two and five years is clinically superior to the existing FDA approved products. For </w:t>
      </w:r>
      <w:r>
        <w:rPr>
          <w:rFonts w:ascii="Times New Roman;sans-serif" w:hAnsi="Times New Roman;sans-serif"/>
          <w:b w:val="false"/>
          <w:color w:val="000000"/>
          <w:sz w:val="20"/>
        </w:rPr>
        <w:t xml:space="preserve">greater detail, </w:t>
      </w:r>
      <w:r>
        <w:rPr>
          <w:rFonts w:ascii="Times New Roman;sans-serif" w:hAnsi="Times New Roman;sans-serif"/>
          <w:b w:val="false"/>
          <w:color w:val="000000"/>
          <w:sz w:val="20"/>
          <w:shd w:fill="FFFFFF" w:val="clear"/>
        </w:rPr>
        <w:t>s</w:t>
      </w:r>
      <w:r>
        <w:rPr>
          <w:rFonts w:ascii="Times New Roman;sans-serif" w:hAnsi="Times New Roman;sans-serif"/>
          <w:b w:val="false"/>
          <w:color w:val="000000"/>
          <w:sz w:val="20"/>
        </w:rPr>
        <w:t xml:space="preserve">ee </w:t>
      </w:r>
      <w:r>
        <w:rPr>
          <w:rFonts w:ascii="Times New Roman;sans-serif" w:hAnsi="Times New Roman;sans-serif"/>
          <w:b w:val="false"/>
          <w:color w:val="000000"/>
          <w:sz w:val="20"/>
          <w:shd w:fill="FFFFFF" w:val="clear"/>
        </w:rPr>
        <w:t xml:space="preserve">Part II Item 8. Financial Statements and Supplementary Data, </w:t>
      </w:r>
      <w:r>
        <w:rPr>
          <w:rFonts w:ascii="Times New Roman;sans-serif" w:hAnsi="Times New Roman;sans-serif"/>
          <w:b w:val="false"/>
          <w:color w:val="000000"/>
          <w:sz w:val="20"/>
        </w:rPr>
        <w:t xml:space="preserve">Note 23, </w:t>
      </w:r>
      <w:r>
        <w:rPr>
          <w:rFonts w:ascii="Times New Roman;sans-serif" w:hAnsi="Times New Roman;sans-serif"/>
          <w:b w:val="false"/>
          <w:i/>
          <w:color w:val="000000"/>
          <w:sz w:val="20"/>
        </w:rPr>
        <w:t>Contingencies</w:t>
      </w:r>
      <w:r>
        <w:rPr>
          <w:color w:val="000000"/>
        </w:rPr>
        <w:t xml:space="preserve"> </w:t>
      </w:r>
      <w:r>
        <w:rPr>
          <w:rFonts w:ascii="Times New Roman;sans-serif" w:hAnsi="Times New Roman;sans-serif"/>
          <w:b w:val="false"/>
          <w:color w:val="000000"/>
          <w:sz w:val="20"/>
        </w:rPr>
        <w:t>to our financial statement</w:t>
      </w:r>
      <w:r>
        <w:rPr>
          <w:rFonts w:ascii="Times New Roman;sans-serif" w:hAnsi="Times New Roman;sans-serif"/>
          <w:b w:val="false"/>
          <w:color w:val="000000"/>
          <w:sz w:val="20"/>
          <w:shd w:fill="FFFFFF" w:val="clear"/>
        </w:rPr>
        <w:t xml:space="preserve">s and in Part I Item 1. Business,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Neurelis prevails on the appeal or the FDA does not make a determination of clinical superiority in favor of Libervant, we may be required to withdraw Libervant from the U.S. market until such time as the ODE expires for Valtoco in January 2027. This would result in significant changes to our business and delay in future revenues to the Company from Libervant.</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cannot be certain that we will be able to successfully develop our product candidates or obtain regulatory approval for our product candidates.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receiving approval to commercialize any of our drug products, we must demonstrate with substantial evidence from well-controlled clinical trials, and to the satisfaction of the FDA and/or other regulatory authorities in the U.S. and other countries, that our particular product candidates are both safe and effective. For each drug product, we must demonstrate its efficacy and monitor its safety throughout the process. If development within these parameters is unsuccessful, our business could be harmed, and our stock price could be adversely affected.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product candidates in preclinical and clinical development. Our business depends primarily on the successful clinical development, regulatory approval and commercialization of our product candidates. Before our product candidates can be marketed, the FDA and other comparable foreign regulatory agencies must approve our applicable NDA or comparable regulatory submissions. Clinical testing is expensive, difficult to design and implement, can take many years to complete and is very uncertain as to outcome. A failure of one or more clinical trials can occur at any stage of testing. Further, positive results from earlier stage clinical trials may not be predictive of later clinical trials or other regulatory developments. In addition, many companies in the pharmaceutical and biotechnology industries have suffered significant setbacks in later stage clinical trials after achieving positive results in early stage development, and we cannot be certain that we will not face similar setbacks. Also, preclinical and clinical data are often susceptible to varying interpretations and analyses, and many companies that believed their product candidates performed satisfactorily in preclinical studies and clinical trials nonetheless failed to obtain FDA approval. Even after successful completion of clinical testing, there is a risk that the FDA may request further information from us, disagree with our findings or otherwise undertake a lengthy review of our submission. We may be asked to provide further justification and evidence to support the application for approval at an FDA Advisory Committee meeting, which requires significant time and resources to prepare. FDA staff, and the public, may also present their own analyses of the clinical trial data, and discuss other issues at an Advisory Committee meeting. FDA Advisory Committees are typically asked to comment on whether they believe there is adequate safety and effectiveness data to support approval. Advisory Committees may also recommend that FDA request additional studies before approval or suggest changes to a product’s proposed labeling. Advisory Committees make nonbinding recommendations to FDA. FDA generally follows the recommendations, but is not legally bound to do so. We also face hurdles and setbacks by reason of competitors’ drug candidates obtaining FDA or other regulatory approvals, including orphan drug market exclusivity, prior to our obtaining FDA or other regulatory approval of our similar drug candidate. Even if the FDA approves our NDA, we may be unable to successfully commercialize our products and product candidates.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some instances, there can be significant variability in safety or efficacy results between different clinical trials of the same product candidate due to the numerous factors, including changes in clinical trial procedures set forth in protocols, differences in the size and type of the patient populations, adherence to the dosing regimen, and other clinical trial protocols, and the rate of dropout among clinical participants. If we fail to produce positive results in our planned preclinical studies or clinical trials of any of our product candidates, the development timeline and regulatory approval and commercialization prospects for our product candidates and, correspondingly, our business and financial prospects, would be materially adversely affected.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also possible that the FDA will not approve an application that we may submit, or our product candidates may not obtain appropriate regulatory approvals necessary for us to commence clinical trials for our product candidates. Any delay or failure in obtaining required approvals could have a material adverse effect on our business. This process from development to commercialization can take many years and will likely require the expenditure of substantial resources beyond the proceeds we currently have on hand, without any guarantee or assurance that we will be successful with regulatory approval, or commercial success, of such product candidate.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obtain approval from the FDA and comparable foreign regulatory authorities for our current and future product candidates, any approval might contain significant limitations related to use restrictions for specified age groups, warnings, precautions or contraindications, or may be subject to burdensome post-approval study or risk management requirements. If we are unable to obtain regulatory approval, or any approval contains significant limitations, we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6705"/>
                <wp:effectExtent l="0" t="0" r="0" b="0"/>
                <wp:wrapNone/>
                <wp:docPr id="37" name="Frame3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able to obtain sufficient funding or generate sufficient revenue to continue the development of that product candidate or any other product candidate that we may in-license, develop or acquire in the future.</w:t>
      </w:r>
    </w:p>
    <w:p>
      <w:pPr>
        <w:pStyle w:val="TextBody"/>
        <w:bidi w:val="0"/>
        <w:spacing w:lineRule="auto" w:line="288" w:before="0" w:after="60"/>
        <w:jc w:val="both"/>
        <w:rPr/>
      </w:pPr>
      <w:r>
        <w:rPr>
          <w:rFonts w:ascii="Times New Roman;sans-serif" w:hAnsi="Times New Roman;sans-serif"/>
          <w:b/>
          <w:i/>
          <w:color w:val="000000"/>
          <w:sz w:val="20"/>
          <w:shd w:fill="FFFFFF" w:val="clear"/>
        </w:rPr>
        <w:t>If we do not obtain market exclusivity for certain of our products, including orphan drug exclusivity, our business may be harmed</w:t>
      </w:r>
      <w:r>
        <w:rPr>
          <w:rFonts w:ascii="Times New Roman;sans-serif" w:hAnsi="Times New Roman;sans-serif"/>
          <w:b/>
          <w:i/>
          <w:color w:val="000000"/>
          <w:sz w:val="20"/>
        </w:rPr>
        <w:t>.</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orphan drug market exclusivity for our drug candidate Libervant for ARS patients aged between two and five years, and may in the future seek market exclusivity for other product candidates, including orphan drug market exclusivity. Regulatory authorities in some jurisdictions, including the United States,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if a product with an orphan drug designation subsequently receives the first marketing approval for the indication for which it has such designation, the product is entitled to a period of market exclusivity, which precludes the FDA from approving another marketing application for the same drug for the same disease for seven years. Orphan drug exclusivity may be lost if the FDA determines that the request for designation was materially defective or if the manufacturer is unable to assure sufficient quantity of the drug to meet the needs of patients with the rare disease or condition. Orphan drug designation must be requested before submitting an application for marketing approval.</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company that first obtains FDA approval for a designated orphan drug for the designated rare disease or condition receives orphan drug market exclusivity for that drug for the designated disease for a period of seven years in the United States. This orphan drug exclusivity prevents the FDA from approving another application to market a drug containing the same active moiety for the same orphan indication, except in very limited circumstances, including when the FDA concludes that the later drug is safer, more effective or makes a major contribution to patient care within the meaning of FDA regulations and guidance. In addition, a designated orphan drug may not receive orphan drug market exclusivity if it is approved for a use that is broader than the indication for which it received orphan designation.</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receive orphan drug designation for one or more of our drug candidates, we may not be the first to obtain marketing approval for the orphan-designated indication due to the uncertainties associated with developing product candidates. If any of these other pharmaceutical companies obtains approval of an NDA before we are able to receive approval for one or more of our drug candidates with the same active moiety for the same indication, we would be barred from marketing that product in the United States during the seven-year orphan drug exclusivity period, unless we could demonstrate that such drug candidate is clinically superior to the approved products or satisfies one of the other limited exceptions to such orphan drug exclusivity.</w:t>
      </w:r>
    </w:p>
    <w:p>
      <w:pPr>
        <w:pStyle w:val="TextBody"/>
        <w:bidi w:val="0"/>
        <w:spacing w:lineRule="auto" w:line="288" w:before="0" w:after="60"/>
        <w:ind w:left="0" w:right="0" w:firstLine="720"/>
        <w:jc w:val="both"/>
        <w:rPr/>
      </w:pPr>
      <w:r>
        <w:rPr>
          <w:rFonts w:ascii="Times New Roman;sans-serif" w:hAnsi="Times New Roman;sans-serif"/>
          <w:b w:val="false"/>
          <w:color w:val="000000"/>
          <w:sz w:val="20"/>
        </w:rPr>
        <w:t xml:space="preserve">Further, even if we obtain orphan drug exclusivity for a product, that exclusivity may not effectively protect the product from competition because different drugs with different active moieties can be approved for the same condition or a drug with the same active moiety can be approved for a different indication as currently permitted pursuant to FDA regulations in the United States. Orphan drug designation neither shortens the development time or regulatory review time of a drug nor gives the drug any advantage in the regulatory review or approval process. In addition, even if we intend to seek orphan drug designation for any of our product candidates or indications, we may never receive such designations or obtain orphan drug exclusivity. See Part II, Item 8. Financial Statements and Supplementary Data, Note 23, </w:t>
      </w:r>
      <w:r>
        <w:rPr>
          <w:rFonts w:ascii="Times New Roman;sans-serif" w:hAnsi="Times New Roman;sans-serif"/>
          <w:b w:val="false"/>
          <w:i/>
          <w:color w:val="000000"/>
          <w:sz w:val="20"/>
        </w:rPr>
        <w:t>Contingencies.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Also, overcoming a grant of orphan drug market exclusivity is difficult to establish, with limited precedent. In April 2024 the FDA approved Libervant® (diazepam) Buccal Film, 5 mg, 7.5 mg, 10 mg, 12.5 mg, and 15 mg, for ARS patients between the ages of two and five years. This FDA approval was recently determined to be granted in error by the U.S. District Court for the District of Columbia in a lawsuit brought by Neurelis, Inc., and there can be no assurance that the Company will be successful in its appeal of this court ruling or that the FDA will grant our current request seeking an FDA determination that Libervant for this young patient population is clinically superior to other FDA approved ARS drugs in order to maintain the exclusive approval of Libervant in this age and indication. Even if we maintain our market access approval of Libervant for this age group in this indication, if we fail to receive U.S. orphan drug market exclusivity for Libervant for this age group in this indication, our ability to prevent competitors from manufacturing, marketing and selling competing products will be materially impaired, and our results of operations and financial condition may be significantly adversely affected.</w:t>
      </w:r>
    </w:p>
    <w:p>
      <w:pPr>
        <w:pStyle w:val="TextBody"/>
        <w:bidi w:val="0"/>
        <w:spacing w:lineRule="auto" w:line="288" w:before="0" w:after="60"/>
        <w:ind w:left="0" w:right="0" w:firstLine="720"/>
        <w:jc w:val="both"/>
        <w:rPr/>
      </w:pPr>
      <w:r>
        <w:rPr>
          <w:rFonts w:ascii="Times New Roman;sans-serif" w:hAnsi="Times New Roman;sans-serif"/>
          <w:b w:val="false"/>
          <w:color w:val="000000"/>
          <w:sz w:val="20"/>
        </w:rPr>
        <w:t>C</w:t>
      </w:r>
      <w:r>
        <w:rPr>
          <w:rFonts w:ascii="Times New Roman;sans-serif" w:hAnsi="Times New Roman;sans-serif"/>
          <w:b/>
          <w:i/>
          <w:color w:val="000000"/>
          <w:sz w:val="20"/>
        </w:rPr>
        <w:t>linical trials may be delayed, suspended or terminated for many reasons, which will increase our expenses and delay the time it takes to develop our product candidates.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delays in our ongoing or future preclinical trials, and we do not know whether future preclinical studies or clinical trials will begin on time, need to be redesigned, enroll an adequate number of patients on time or be completed on schedule. The commencement and completion of clinical trials for our clinical product candidates may be delayed suspended or terminated as a result of many factors,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FDA disagreeing as to the design, protocol or implementation of our clinical studies;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delay or refusal of regulators or IRBs, to authorize us to commence a clinical trial at a prospective trial site;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regulatory requirements, policies and guidelines;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06705"/>
                <wp:effectExtent l="0" t="0" r="0" b="0"/>
                <wp:wrapNone/>
                <wp:docPr id="38" name="Frame3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delays or failure to reach an agreement on acceptable terms with prospective CROs, and clinical trial sites;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inability to enroll or delays in enrolling a sufficient number of patients in trials, particularly in orphan indications, to observe statistically significant treatment effects in the trial;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having clinical sites deviate from the trial protocol;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negative or inconclusive results from ongoing preclinical studies or clinical trials, which may require us to conduct additional preclinical studies or clinical trials or to abandon projects that we had expected to be promising;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reports from preclinical testing of other similar therapies that raise safety or efficacy concerns;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regulators or IRBs requiring that we or our investigators suspend or terminate clinical research for various reasons, including noncompliance with regulatory requirements or safety concerns, among others;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lower than anticipated retention rates of patients and volunteers in clinical trials;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CROs or clinical trial sites failing to comply with regulatory requirements or meet their contractual obligations to us in a timely manner, or at all, deviating from the protocol or dropping out of a trial;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delays in establishing the appropriate dosage levels;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exceeding budgeted costs due to difficulty in accurately predicting costs associated with clinical trials.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the commencement or completion of any clinical trial of our product candidates, or if any clinical trials suspended or terminated, our costs may substantially increase and the commercial prospects of our product candidates may be harmed and our ability to generate revenue from sales of any product candidate will be delayed or not realized at all. Significant preclinical study or clinical trial delays also could shorten the period during which we have exclusive rights to commercialize a product candidate or allow our competitors to bring products to market before we do and impair our ability to successfully commercialize a product candidate.</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have limited commercialization experience and may lack the necessary expertise, personnel and resources to successfully commercialize our other product candidates that must first receive regulatory approval, either on our own or together with collaborators.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our third-party licensees to commercialize our multiple licensed products and to date have only marketed, through our own efforts and with the services of third-party outsourcing vendors, including contract sales personnel, our first self-developed product, Sympazan, launched in December 2018. With the license of Sympazan to Assertio in October 2022, we scaled back many of our commercial operations, including elimination of our sales and marketing force. However, in April 2024, we launched Libervant for ARS patients between two and five years of age. Given our limited history of direct experience in commercializing product candidates, and current limited commercial operations, we have no long-term experience upon which to measure our ability or success in commercializing future product candidates, if approved, or our ability to make predictions about financial results or prospects of any future launches of product candidates, if approved.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ongoing commercial strategy for our product candidates involves the development of a commercial infrastructure that spans multiple jurisdictions and is dependent upon our ability to build an infrastructure that is capable of implementing our commercial product launch strategy. The establishment and development of our commercial infrastructure will be expensive and time consuming, and we may not be able to develop our commercial infrastructure successfully or in a timely manner, or at all. Doing so will require a high degree of coordination and compliance with laws and regulations in numerous territories, including in the United States, each state, and other countries in which we do business, including restrictions on advertising practices, enforcement of intellectual property rights, restrictions on pricing or discounts, transparency laws and regulations, and unexpected changes in regulatory requirements and tariffs. If we are unable to effectively coordinate such activities or comply with such laws and regulations, our ability to commercialize our product candidates in the United States and other jurisdictions in which they are or may be available will be materially adversely affected.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intend to enter into strategic licenses with third parties to commercialize our product candidates. We may have difficulty establishing relationships with third parties on terms that are acceptable to us, or in all of the regions where we wish to commercialize our products, or at all. If we are unable to build our own distribution and marketing capabilities or to find suitable licensees for the commercialization of our products and product candidates, if approved, we may have difficulties generating revenue from them and our business, results of operations, financial condition and prospects and the trading price of our stock may be materially adversely affected.</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success depends upon attaining significant market acceptance of our licensed products and proprietary products and product candidates, if approved, among patients, physicians, pharmacists and the medical community.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we may not complete development of our product candidates or obtain regulatory approval for those product candidates. Even if we do complete development and obtain regulatory approval for our product candidates, our product candidates may not gain market acceptance among patients, physicians, nurses, pharmacists, the medical community or third-party payors, which is critical to commercial success. Market acceptance of our products and any product candidate for which we receive approval depends on a number of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06705"/>
                <wp:effectExtent l="0" t="0" r="0" b="0"/>
                <wp:wrapNone/>
                <wp:docPr id="39" name="Frame3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clinical indications for which the product candidate is approved;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potential and perceived advantages of such product candidate over alternative treatments;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favorable pricing and the availability of coverage and adequate reimbursement by third-party payors and government authorities;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any negative publicity related to our or our competitors’ products that include the same active ingredient;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prevalence and severity of adverse side effects, including limitations or warnings contained in a product’s FDA-approved labeling;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effectiveness of sales and marketing efforts.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a potential product displays a favorable efficacy and safety profile in clinical trials, market acceptance of the product will not be known until a period of time after it is launched. If our products or product candidates, if approved, fail to achieve an adequate level of acceptance by patients, physicians, nurses, pharmacists, the medical community or third-party payors, we will be unable to generate significant revenues, and we may not become or remain profitable.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potential market opportunities for our product candidates are difficult to estimate. Our estimates of the potential market opportunities are predicated on several key assumptions such as industry knowledge and publications, third-party research reports or analyses and other analytical information. While we believe that our internal assumptions are reasonable, these assumptions may be inaccurate. If any of the assumptions proves to be inaccurate, then the actual market for our product candidates could be smaller than our estimates of the potential market opportunity. If the actual market for our product candidates is smaller than we expect, or if the products fail to achieve an adequate level of acceptance by physicians, health care payors and patients, our revenue from product sales may be limited and we may be unable to achieve or maintain profitability.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may not be able to hire or contract for a sales force that is sufficient in size or has adequate expertise in the medical markets that we intend to target for our product candidates in the future. Any failure or delay in the development of our sales, marketing and distribution capabilities would adversely impact the commercialization of our product candidates, if approved.</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Regulatory approval for any approved product is limited by the FDA to those specific indications and conditions for which clinical safety and efficacy have been demonstrated, and any allegations of our failure to comply with such approved indications could limit our sales efforts and have a material adverse effect on our business.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materially adversely affected.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physicians in the U.S. may choose and are generally permitted to prescribe drugs for uses that are not described in the product’s labeling and for uses that differ from those tested in clinical trials and approved by the regulatory authorities, our ability to promote our products is narrowly limited to those indications that are specifically approved by the FDA. These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Promotional activities that fail to comply with the FDA’s regulations or guidelines may be subject to warnings from, or enforcement action by, these authorities and may cause the FDA to issue warning letters or untitled letters, bring an enforcement actions, suspend or withdraw an approved product from the market, require a recall or institute fines, or could result in disgorgement of money, operating restrictions, injunctions or criminal prosecution, any of which could materially harm our reputation and our business significantly.</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could incur substantial costs and disruption to our business and delays in the launch of our product candidates if our competitors and/or collaborators bring legal actions against us, which could harm our business and operating results.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whether our competitors or potential competitors, some of whom we collaborate with, may bring legal action against us based on our research, development and commercialization activities, as well as any product candidates or products resulting from these activities, claiming, among other things, infringement of their intellectual property rights, breach of contract, false or disparaging statements about another company’s products or product candidates, or other legal theories. To date we have been subject to a number of claims of this nature. In defending such lawsuits, whether or not they are with or without merit or are ultimately determined in our favor, we would continue to face costly litigation and diversion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06705"/>
                <wp:effectExtent l="0" t="0" r="0" b="0"/>
                <wp:wrapNone/>
                <wp:docPr id="40" name="Frame3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management personnel. These lawsuits could hinder our ability to enter the market early with our product candidates and thereby hinder our ability to influence usage patterns when fewer, if any, of our potential competitors have entered the market, which could adversely impact our potential revenue from such product candidates. Some of our competitors have substantially greater resources than we do and could be able to sustain the cost of litigation to a greater extent and for longer periods of time than we can. Furthermore, an adverse outcome of a dispute may require us: to pay damages, potentially including treble damages and attorneys’ fees, if we are found to have willfully infringed a party’s patent or other intellectual property rights; to cease making, licensing or using products that are alleged to incorporate or make use of the intellectual property of others; to expend additional development resources to reformulate our products or prevent us from marketing a product; and to enter into potentially unfavorable royalty or license agreements in order to obtain the rights to use necessary technologies.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Guidelines and recommendations published by government agencies can reduce the use of our products or product candidates.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agencies promulgate regulations and guidelines applicable to certain drug classes which may include our products and product candidates. Regulations and guidelines of government agencies may relate to such matters as usage, dosage, route of administration and use of concomitant therapies. Regulations or guidelines suggesting the reduced use of certain drug classes which may include our products and product candidates or the use of competitive or alternative products as the standard of care to be followed by patients and healthcare providers could result in decreased use of our products or product candidates or negatively impact our ability to gain market acceptance and market share. For example, Suboxone, which treats opioid addiction, has as one of its active ingredients an opioid, buprenorphine. Revisions to regulations or guidelines suggesting the reduced use of opioid drugs such as buprenorphine could result in decreased use of Suboxone.</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face significant competition from other pharmaceutical companies, and our operating results will suffer if we fail to compete effectively.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intensely competitive and subject to rapid and significant technological change. We expect to have competitors both in the United States and internationally, including major multinational pharmaceutical companies, biotechnology companies and universities and other research institutions. Many of our competitors have substantially greater financial, technical and other resources, such as larger research and development staff and experienced marketing and manufacturing organizations. Mergers and acquisitions in the biotechnology and pharmaceutical industries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companies. Our competitors may succeed in developing, acquiring or licensing on an exclusive basis drug products or drug administration technologies that are more effective than our products or product candidates. In addition, our competitors may file citizen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 or other filing pathways.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successfully compete will depend on, among other things: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efficacy and safety of our products and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time it takes for our product candidates to complete preclinical and clinical development and receive marketing approval;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maintain a good relationship with regulatory authorities;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commercialize and market any of our product candidates after receiving regulatory approval;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price of our products relative to pricing of branded or generic competitors;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whether coverage and adequate levels of reimbursement are available under private and governmental health insurance plans, including Medicare and Medicaid;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protect intellectual property rights related to our products and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manufacture on a cost-effective basis for our products and product candidates that receive regulatory approval;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acceptance by physicians and other healthcare providers of any of our products and product candidates that receive regulatory approval.</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competitors’ market products that are more effective, safer or less expensive than our product candidates, or that reach the market sooner than our product candidates, our products may enter the market too late in the cycle and may not achieve commercial success. In addition, the biopharmaceutical industry is characterized by rapid technological change. Because we have limited research and development capabilities, it may be difficult for us to stay abreast of the rapid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06705"/>
                <wp:effectExtent l="0" t="0" r="0" b="0"/>
                <wp:wrapNone/>
                <wp:docPr id="41" name="Frame3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each technology.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If we are unable to achieve and maintain coverage and adequate reimbursement from third-party payors for our licensed products or product candidates, if approved, their commercial success may be severely hindered.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Successful commercialization of our licensed products and product candidates, if approved, will depend in part on the extent to which coverage and adequate reimbursement are available from third-party payors, including governmental healthcare programs such as Medicare and Medicaid, commercial health insurers and managed care organizations, and how quickly such coverage and reimbursement can be obtained, if obtained at all. Third-party payors determine which medications they will cover and establish reimbursement levels. Reimbursement decisions by third-party payors depend upon a number of factors, including, among other things, each third-party payor’s determination that use of a product is: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appropriate and medically necessary for the specific condition or disease;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cost effective;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Obtaining coverage and reimbursement approval from third-party payors may be a time consuming and costly process that could require us to provide supporting scientific, clinical and cost-effectiveness data, including results from expensive pharmacoeconomic studies, beyond the data required to obtain marketing approval, to each third-party payor. There is no guarantee that we will be able to provide data sufficient to gain acceptance with respect to coverage and reimbursement.</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containment is a primary concern of the U.S. healthcare industry and elsewhere as well as for governmental authorities. Third-party payors are increasingly attempting to contain healthcare costs by limiting both coverage and the level of reimbursement for medical products and services. Third-party payors may deny reimbursement for covered products if they determine that a medical product was not used in accordance with third-party payor coverage policies, such as required procedures for cost-effective diagnosis methods and other conditions that must be met before the third-party payor will provide coverage for use of a product. For example, insurers may establish a “step-edit” system that requires a patient to first use a lower price alternative product prior to becoming eligible for reimbursement of a higher price product. Third-party payors also may refuse to reimburse for drugs, procedures and devices deemed to be experimental, or that are prescribed for an unapproved indication. It is also possible that a third-party payor may consider our products or product candidates as substitutable by less expensive therapies and only offer to reimburse patients for the less expensive product. Even if we show improved efficacy or improved convenience of administration with our products or product candidates, pricing of existing drugs may limit the amount that can be charged for our licensed products or product candidates. These payors may deny or revoke the reimbursement status of a given product or establish prices for new or existing marketed products at levels that are too low to enable us to realize an appropriate return on investment in product development. Further, third-party payors may also limit coverage to specific products on an approved list, or formulary, which might not include all of the FDA-approved products for a particular indication. Further, some third-party payors challenge the prices charged for medical products and may impose price controls or require that drug companies provide them with predetermined discounts from list prices.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Obtaining and maintaining reimbursement status is time-consuming and costly. No uniform policy for coverage reimbursement for products exists among third-party payors in the United States. Therefore, coverage and reimbursement for products can differ significantly from payor to payor. As a result, the coverage determination process is generally a time-consuming and costly process that requires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for determining whether a payor will provide coverage for a product may be separate from the process for setting the price or reimbursement rate that the payor will pay for the product once coverage is approved. Levels of reimbursement may also decrease in the future, and future legislation, regulation or reimbursement policies of third-party payors may adversely affect the reimbursement available for and the pricing of our product candidates, once approved, which in turn, could negatively impact the demand for our product candidates. If payors are not adequately reimbursed for our licensed products or product candidates, they may reduce or discontinue purchases of them, which would result in a significant shortfall in achieving revenue expectations and negatively impact our business, prospects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06705"/>
                <wp:effectExtent l="0" t="0" r="0" b="0"/>
                <wp:wrapNone/>
                <wp:docPr id="42" name="Frame4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relationships with customers, physicians, and third-party payors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providers, physicians and third-party payors in the United States and elsewhere will play a primary role in the recommendation and prescription of any licensed products currently marketed and any product candidates for which we obtain marketing approval in the future.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thereunder. These laws will impact, among other things, our clinical research programs and our proposed sales, marketing and educational programs for our product candidates, if approved. In addition, we may be subject to patient privacy laws by both the federal government and the states in which we conduct or may conduct our business. The laws that will affect our operations include, but are not limited to:</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Under the PPACA a person or entity no longer needs to have actual knowledge of this statute or specific intent to violate it and action that may be customary in other industries ma unintentionally violate the Anti-Kickback Statute;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HIPAA created federal criminal statutes that prohibit a person from knowingly and willfully executing a scheme or making false or fraudulent statements to defraud any healthcare benefit program, regardless of the payor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public or private);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HIPAA, as amended by HITECH, which imposes certain requirements relating to the privacy, security and transmission of individually identifiable health information without appropriate authorization on entities subject to the rule, such as health plans, healthcare clearinghouses and certain healthcare providers, and their respective business associates who provide services involving the creation, use or disclosure of HIPAA protected health information;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federal transparency laws, including the federal Physician Payments Sunshine Act, which is part of the PPACA, that require certain manufacturers of drugs, devices, biologics and medical supplies for which payment is available under Medicare, Medicaid or the Children’s Health Insurance Program, with specific exceptions, to report annually to CMS information related to: (i) payments or other “transfers of value” made to physicians, physician assistants, nurse practitioners, clinical nurse specialists, certified nurse anesthetists, certified nurse-midwives and teaching hospitals; and (ii) certain ownership and investment interests held by physicians and their immediate family members, with such information being made publicly available through a searchable website;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state and foreign law equivalents of each of the above federal laws; state laws that require manufacturers to report information related to payments and other transfers of value to physicians and other healthcare providers, marketing expenditures, or pricing information;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and state and local laws that require the registration of pharmaceutical sales representatives;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state and foreign laws that govern the privacy and security of health information in some circumstances, many of which differ from each other in significant ways and often are not preempted by HIPAA, thus complicating compliance efforts.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and the narrowness of the statutory exceptions and safe harbors available, it is possible that some of our business activities could be subject to challenge under one or more of such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06705"/>
                <wp:effectExtent l="0" t="0" r="0" b="0"/>
                <wp:wrapNone/>
                <wp:docPr id="43" name="Frame4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risk of our being found in violation of these laws is increased by the fact that many of them have not been fully interpreted by the regulatory authorities or the courts, and the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Recently enacted and future healthcare reform legislation or regulation may increase the difficulty and cost for us and any future collaborators to obtain marketing approval of and commercialize our product candidates and may adversely affect the prices we, or they, may obtain and may have a negative impact on our business and results of operations.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We expect that current laws, as well as other healthcare reform measures that may be adopted in the future, may result in more rigorous coverage criteria and in additional downward pressure on the price that we, or any future collaborators, may receive for any approved products. In March 2010, President Obama signed into law the PPACA. Among the provisions of the PPACA of importance to our business, including our ability to commercialize and the prices we may obtain for any of our products and product candidates that are approved for sale, are the following: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addition of more entity types eligible for participation in the Public Health Service 340B drug pricing program, or the 340B program;</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 new Patient-Centered Outcomes Research Institute to oversee, identify priorities in, and conduct comparative clinical effectiveness research, along with funding for such research;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establishment of the Center for Medicare and Medicaid Innovation within CMS to test innovative payment and service delivery models to lower Medicare and Medicaid spending, potentially including prescription drug spending.</w:t>
      </w:r>
    </w:p>
    <w:p>
      <w:pPr>
        <w:pStyle w:val="TextBody"/>
        <w:bidi w:val="0"/>
        <w:spacing w:lineRule="auto" w:line="288" w:before="0" w:after="60"/>
        <w:ind w:left="0" w:right="0" w:firstLine="720"/>
        <w:jc w:val="both"/>
        <w:rPr/>
      </w:pPr>
      <w:r>
        <w:rPr>
          <w:rFonts w:ascii="Times New Roman;sans-serif" w:hAnsi="Times New Roman;sans-serif"/>
          <w:b w:val="false"/>
          <w:color w:val="000000"/>
          <w:sz w:val="20"/>
        </w:rPr>
        <w:t>In addition, other legislative changes have been proposed and adopted since the PPACA was enacted. For example, beginning April 1, 2013, Medicare payments for all items and services, including drugs and biologics, were reduced by 2% under the sequestration (</w:t>
      </w:r>
      <w:r>
        <w:rPr>
          <w:rFonts w:ascii="Times New Roman;sans-serif" w:hAnsi="Times New Roman;sans-serif"/>
          <w:b w:val="false"/>
          <w:i/>
          <w:color w:val="000000"/>
          <w:sz w:val="20"/>
        </w:rPr>
        <w:t>i.e.,</w:t>
      </w:r>
      <w:r>
        <w:rPr>
          <w:color w:val="000000"/>
        </w:rPr>
        <w:t xml:space="preserve"> </w:t>
      </w:r>
      <w:r>
        <w:rPr>
          <w:rFonts w:ascii="Times New Roman;sans-serif" w:hAnsi="Times New Roman;sans-serif"/>
          <w:b w:val="false"/>
          <w:color w:val="000000"/>
          <w:sz w:val="20"/>
        </w:rPr>
        <w:t xml:space="preserve">automatic spending reductions) required by the Budget Control Act of 2011, as amended by the American Taxpayer Relief Act of 2012. Subsequent legislation, including the BBA, extended the 2% reduction, on average, to 2032, subject to additional Congressional action. Sequestration may result in additional reductions in Medicare and other healthcare funding and, if we obtain regulatory approvals, may otherwise affect the prices we may obtain for our product candidates or the frequency with which our product candidates may be prescribed or used if approved. Additional changes that may affect our business include the expansion of new programs such as Medicare payment for performance initiatives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06705"/>
                <wp:effectExtent l="0" t="0" r="0" b="0"/>
                <wp:wrapNone/>
                <wp:docPr id="44" name="Frame4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physicians under the Medicare Access and CHIP Reauthorization Act of 2015 (MACRA). The introduction of the Medicare quality payment program has shifted the focus of physician reimbursement from volume to value, encouraging higher quality and more cost-effective care.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legislative changes to or regulatory changes under the PPACA remain possible in the U.S. Congress and under the second-term Trump administration. The nature and extent of any legislative or regulatory changes to the PPACA, including repeal and replacement initiatives, are uncertain at this time. It is possible that the PPACA repeal and replacement initiatives, if enacted into law, could ultimately result in fewer individuals having health insurance coverage or in individuals having insurance coverage with less generous benefits, including limited coverage for drugs. While Congress has not passed repeal legislation, the Tax Cuts and Jobs Act of 2017 (“TCJA”), which was signed into law by President Trump during his first administration, effectively eliminated the federal “individual mandate” penalty imposed by the PPACA on individuals who failed to maintain qualifying health coverage for all or part of a year. Shortly thereafter, the BBA amended the PPACA to close the coverage gap in most Medicare drug plans, commonly referred to as the “donut hole.” The Inflation Reduction Act of 2022, which was signed into law by President Biden, has since eliminated the coverage gap and replaced it with a $2,000 annual cap on out-of-pocket spending for covered drugs. As the second Trump presidency has commenced, we will continue to evaluate the impact of the PPACA on our business, and the potential for its further repeal or replacement.</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prescription pharmaceuticals in the United States have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and enacted federal and state legislation designed to bring more transparency to product pricing, review the relationship between pricing and manufacturer patient programs, and reform government program reimbursement methodologies for drug products. In 2022, the Biden administration signed into law the Inflation Reduction Act, which included a number of significant drug pricing reforms, including the establishment of a drug price negotiation program within the HHS that, starting in 2026, will require manufacturers to charge a negotiated “maximum fair price” for certain selected drugs or pay an excise tax for noncompliance; the establishment, beginning in 2023, of rebate payment requirements on manufacturers under Medicare Parts B and D to penalize price increases that outpace inflation; and a redesign of the Part D benefit, as part of which manufacturers are required to provide discounts on Part D drugs, beginning in 2025. Additionally, President Biden issued a subsequent Executive Order directing the Secretary of the HHS consider whether new payment and delivery models would lower drug costs, though, on the first day of his second term, President Trump repealed that Executive Order.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we may experience more rigorous coverage criteria and additional downward pricing pressure as the result of these and other healthcare reform measures that may be adopted in the future.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Additionally, policy changes resulting from the new presidential administration may create sudden and unexpected shifts in the operations of HHS that might impact both existing and planned operations.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product candidates. If reimbursement of our products is unavailable or limited in scope or amount, or if pricing is set at unsatisfactory levels, our ability to generate revenues and become profitable could be impaired.</w:t>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rely on third parties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relied upon and plan to continue to rely upon third-party CROs to monitor and manage data for our preclinical and clinical programs. We rely on these parties for execution of our preclinical studies and clinical trials, and control only certain aspects of their activities. Nevertheless, we are responsible for ensuring that each of our trials is conducted in accordance with the applicable protocol, legal, regulatory and scientific standards and our reliance on the CROs does not relieve us of our regulatory responsibilities. We and our CROs are required to comply with FDA laws and regulations regarding current good clinical practice, or GCP, which are also required by the Competent Authorities of the Member States of the European Economic Area and comparable foreign regulatory authorities in the form of International Conference on Harmonization,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06705"/>
                <wp:effectExtent l="0" t="0" r="0" b="0"/>
                <wp:wrapNone/>
                <wp:docPr id="45" name="Frame4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ICH, guidelines for all of our products in clinical development. Regulatory authorities enforce GCP through periodic inspections of trial sponsors, principal investigators and trial sites. If we or any of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the current cGMP regulations. While we have agreements governing activities of our CROs, we have limited influence over their actual performance. In addition, portions of the clinical trials for our product candidates are expected to be conducted outside of the United States, which will make it more difficult for us to monitor CROs and visit clinical trial sites and will force us to rely heavily on CROs to ensure the proper and timely conduct of our clinical trials and compliance with applicable regulations, including GCP. Failure to comply with applicable regulations in the conduct of the clinical trials for our product candidates may require us to repeat clinical trials, which would delay the regulatory approval process.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CROs have an ability to terminate their respective agreements with us if, among other reasons, it can be reasonably demonstrated that the safety of the subjects participating in our clinical trials warrants such termination, if we make a general assignment for the benefit of our creditors or if we are liquidated. 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strive to manage our relationships with our CROs, there can be no assurance that we will not encounter challenges or delays in the future or that these delays or challenges will not have a material adverse impact on our business, financial condition and prospects.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rely on limited sources of supply for our thin film foil, and any disruption in the chain of supply may impact production and sales and cause delay in developing and commercializing our proprietary PharmFilm Technology product candidates.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relationships with two third parties for the manufacture of our thin film foil. Because of the unique equipment and process for manufacturing our thin film foil, transferring manufacturing activities for our foil to an alternate supplier would be a time-consuming and costly endeavor, and there are only a limited number of manufacturers that we believe are capable of performing this function for us. Switching thin film foil suppliers may involve substantial cost and could result in a delay in our desired clinical and commercial timelines. If any of our thin film foil manufacturers breach or terminate their agreements with us, we would need to identify an alternative source for the thin film foil manufacture and supply of foil to us for the development and commercialization of the applicable products. Identifying an appropriately qualified source of alternative thin film foil supply for any one or more of these product candidates could be time consuming, and we may not be able to do so without incurring material delays in the development and commercialization of our product candidates, or in satisfying our manufacturing and supply commitments and obligations for our licensed products, which could harm our financial position, the commercial potential for our licensed products and product candidates, and our results of operations, as well as to result in a default in our supply commitments and obligations. Any alternative thin film foil vendor would also need to be qualified through an NDA supplement which could result in further delay. The FDA or other regulatory agencies outside of the United States may also require additional studies if we appoint a new manufacturer for supply of our licensed products that differs from the manufacturer used for clinical development of such products. For our product candidates, we expect that only one supplier will initially be qualified as a vendor with the FDA. If supply from the approved vendor is interrupted, there could be a significant disruption in our development and supply activities.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could cause the delay of clinical trials, regulatory submissions, required approvals or commercialization of our approved products and product candidates, cause us to incur higher costs and prevent successful commercialization of our licensed products and product candidates, if approved. Furthermore, if our suppliers fail to deliver the required commercial quantities of components and active pharmaceutical ingredient on a timely basis and at commercially reasonable prices, and we are unable to secure one or more replacement suppliers capable of production at a substantially equivalent cost, we would likely be in default in our supply obligations, which could result in the termination of our supply agreements, our incurring potential default damages and our loss of significant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06705"/>
                <wp:effectExtent l="0" t="0" r="0" b="0"/>
                <wp:wrapNone/>
                <wp:docPr id="46" name="Frame4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05"/>
        <w:jc w:val="both"/>
        <w:rPr>
          <w:rFonts w:ascii="Times New Roman;sans-serif" w:hAnsi="Times New Roman;sans-serif"/>
          <w:b/>
          <w:i/>
          <w:color w:val="000000"/>
          <w:sz w:val="20"/>
        </w:rPr>
      </w:pPr>
      <w:r>
        <w:rPr>
          <w:rFonts w:ascii="Times New Roman;sans-serif" w:hAnsi="Times New Roman;sans-serif"/>
          <w:b/>
          <w:i/>
          <w:color w:val="000000"/>
          <w:sz w:val="20"/>
        </w:rPr>
        <w:t>We rely on third parties to manufacture API for our licensed products and product candidates, and we intend to rely on third parties to manufacture the API for other approved products. The commercialization of any of our licensed products and product candidates, if approved, could be stopped, delayed or made less profitable if those third parties fail to provide us with sufficient quantities of API or fail to do so at acceptable quality levels or prices or fail to maintain or achieve satisfactory regulatory compliance.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and expect to continue to rely, on third parties to manufacture API for our licensed products and our product candidates, and control only certain aspects of their activities.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third parties may terminate their engagements with us at any time. If we need to enter into alternative arrangements, it could delay our supply of licensed products, proprietary product candidate programs and commercialization activities. Our reliance on these third parties reduces our control over these activities but does not relieve us of our responsibility to ensure compliance with all required legal, regulatory and scientific standards and any applicable trial protocols or our obligations under our product supply commitments and obligations. If these third parties do not successfully carry out their contractual duties or meet expected deadlines, we will not be able to complete, or may be delayed in completing, clinical trials required to support future regulatory submissions and approval of our product candidates and we would likely be in default in our supply commitments and obligations for our licensed products, which could result in the termination of our supply agreements, our incurring potential default damages and our loss of significant revenues.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facilities used by us, and by our third-party API manufacturers, to manufacture our licensed products and product candidates must maintain a compliance status acceptable to the FDA or other applicable regulatory authorities pursuant to inspections that will be conducted after we submit our NDA to the FDA. If we or any of our third-party API manufacturers cannot successfully manufacture material that conforms to our specifications and the applicable regulatory authorities’ strict regulatory requirements, or pass regulatory inspection, we or they will not be able to secure or maintain regulatory approval for the manufacturing facilities. In addition, we have no control over the ability of third-party API manufacturers to maintain adequate quality control, quality assurance and qualified personnel. Further, as we scale up manufacturing of our product candidates and conduct required stability testing, product, packaging, equipment and process-related issues may require refinement or resolution in order for us to proceed with our planned clinical trials and obtain regulatory approval for commercialization of our product candidates. In the future, for example, we may identify impurities in the product manufactured by us or for us for commercial supply, which could result in increased scrutiny by the regulatory agencies, delays in our clinical program and regulatory approval, increases in our operating expenses, or failure to obtain or maintain approval for our licensed products and product candidates. If the FDA or any other applicable regulatory authority does not approve these facilities for the manufacture of our products or if they withdraw any such approval in the future, or if our suppliers or third-party manufacturers decide they no longer want to manufacture our products, we would need to find alternative manufacturing facilities, which would significantly impact our ability to develop, obtain regulatory approval for or market our product candidates and which could also result in default in our supply commitments and obligations for our licensed products, our incurring potential default damages and our loss of significant revenues.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 generally, we and our API manufacturers of pharmaceutical products, may often encounter difficulties in production, particularly in scaling up and validating initial production. These problems include difficulties with production costs and yields, quality control, including stability of the product, quality assurance testing, shortages of qualified personnel, as well as compliance with strictly enforced federal, state and foreign regulations. Additionally, we and our API manufacturers may experience manufacturing difficulties due to resource constraints or as a result of labor disputes or unstable political environments, such as recent events in Ukraine and Russia, or other geopolitical uncertainty. If we or our manufacturers were to encounter any of these difficulties, or otherwise fail to comply with their contractual obligations, our ability to manufacture our products, or to make our product candidates available for clinical trials and development purposes or to further commercialize any of our licensed products and product candidates in the United States, would be jeopardized. Any delay or interruption in our ability to meet commercial demand may result in the loss of significant potential revenues and could adversely affect our ability to gain market acceptance for approved products as well as a potential default of our supply commitments or obligations. In addition,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 Additionally, if supply from one approved API manufacturer is interrupted, there could be a significant disruption in commercial supply. Regulatory agencies may also require additional studies if a new manufacturer is relied upon for commercial production. Switching manufacturers may involve substantial costs and would likely result in a delay in our desired clinical and commercial timelines and disrupt our supply commitment and obligations.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factors could have a material adverse effect on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06705"/>
                <wp:effectExtent l="0" t="0" r="0" b="0"/>
                <wp:wrapNone/>
                <wp:docPr id="47" name="Frame4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The design, development, manufacture, supply, and distribution of our licensed products and our product candidates is highly regulated and technically complex.</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entities involved in the preparation of therapeutics for clinical trials or commercial sale are subject to extensive regulation. Components of a finished therapeutic product approved for commercial sale or used in late-stage clinical trials must be manufactured in accordance with cGMP and equivalent foreign standards.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The development, manufacture, supply, and distribution of our products and our product candidates is highly regulated and technically complex. We, along with our third-party providers, must comply with all applicable regulatory requirements of the FDA and foreign authorities.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or our API and component manufacturers, must supply all necessary documentation in support of our regulatory filings for our product candidates on a timely basis and must adhere to the FDA’s GLP and cGMP regulations enforced by the FDA through its facilities inspection program, and the equivalent standards of the regulatory authorities in other countries. Any failure by us or by our third-party API or component manufacturers to comply with cGMP or failure to scale-up manufacturing processes, including any failure to deliver sufficient quantities of product candidates in a timely manner, could lead to a delay in, or failure to obtain, regulatory approval of any of our product candidates. Our facilities and quality systems and the facilities and quality systems of some or all of our third-party API and component manufacturers must also pass a pre-approval inspection for compliance with the applicable regulations as a condition of regulatory approval of our product candidates or any of our other potential products. In addition, the regulatory authorities in any country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and quality systems do not pass a pre-approval plant inspection, FDA approval of our product candidates, or the equivalent approvals in other jurisdictions, will not be granted.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authorities also may, at any time following approval of a product for sale, inspect our manufacturing facilities or those of our third-party suppliers or contractors. If any such inspection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third-party to implement and that may include the temporary or permanent suspension of a clinical trial or commercial sales of our approved products or the temporary or permanent closure of a facility. Any such remedial measures imposed upon us or third parties with whom we contract could materially harm our business. If we or any of our third-party API or component manufacturers fail to maintain regulatory compliance, the FDA can impose regulatory sanctions including, among other things, refusal to approve a pending NDA for a new drug product or revocation of a pre-existing approval. As a result, our business, financial condition and results of operations may be materially harmed resulting in a significant loss of revenues and results and resulting in a potential default in our supply commitments or obligations, which could lead to termination of our supply agreements, our incurrence of default damages and our loss of significant revenues.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establishing development and commercialization collaborations, which could adversely affect, and potentially prohibit, our ability to develop our product candidates.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developing pharmaceutical products, conducting clinical trials, obtaining regulatory approvals, establishing manufacturing capabilities and marketing approved products are expensive, we continue to explore collaborations or licensing arrangements with third parties that have available resources and experience both in the United States and in territories outside of the United States. We continue to explore selective collaborations with third parties for development and commercialization of our products and candidates both in and outside of the United States. We may, however, be unable to advance the development and/or commercialization of our products and product candidates in territories outside of the United States, which may limit the market potential for certain products and product candidates outside the U.S.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situations where we enter into a development and commercial collaborative arrangement for a product or product candidate, we may also seek to establish additional collaborations for development and commercialization in territories outside of those addressed by the first collaborative arrangement for such product or product candidate. There are a limited number of potential licensees, and we expect to face competition in seeking appropriate licensees. If we are unable to enter into any development and commercial collaborations and/or sales and marketing arrangements on acceptable terms, if at all, we may be unable to successfully develop and seek regulatory approval for our product or product candidates and/or effectively market and sell approved products, if any, in all of the territories outside of the United States where it may otherwise be valuable to do so.</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Whether we reach an agreement for a collaboration will depend, among other things, upon our assessment of the collaborator’s resources and expertise, the terms and conditions of the proposed collaboration and the proposed collaborator’s evaluation of a number of factors. Those factors may include the likelihood of approval by the FDA or foreign regulatory authorities, the potential market for the product or product candidate, the costs and complexities of delivering such product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06705"/>
                <wp:effectExtent l="0" t="0" r="0" b="0"/>
                <wp:wrapNone/>
                <wp:docPr id="48" name="Frame4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product candidate to patients, competing products, and industry and market conditions generally. Collaborations are complex and time-consuming to negotiate and document.</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negotiate collaborations on a timely basis, on acceptable terms, or at all. If we elect to increase our expenditures to fund development or commercialization activities on our own, we may need to obtain significant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maintaining development and commercialization collaborations, and any collaborators may not devote sufficient resources to the development or commercialization of our products or product candidates or may otherwise fail in development or commercialization efforts, which could adversely affect our ability to develop and successfully commercialize certain of our products and product candidates and our financial condition and operating results.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we establish collaborative arrangements, such collaboration may not ultimately be successful, which could have a negative impact on our business, results of operations, financial condition and prospects. If we collaborate with a third-party for development and commercialization of a product or product candidate, we can expect to relinquish some or all of the control over the future success of that product or product candidate to the third-party. It is possible that a third-party collaborator may not devote sufficient resources to the development or commercialization of our product or product candidate or may otherwise fail in development or commercialization efforts, in which event the development and commercialization of such product or product candidate could be delayed or terminated and our business could be substantially harmed. In addition, the terms of any collaboration or other arrangement that we establish may not prove to be favorable to us or may not be perceived as favorable, which may negatively impact the trading price of our Common Stock. In some cases, we may be responsible for continuing development of a product or product candidate or research program under a collaboration, and the payment we receive from our licensee may be insufficient to cover the cost of this development. Moreover, collaborations and sales and marketing arrangements are complex and time consuming to negotiate, document and implement, and they may require substantial resources to maintain.</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additional risks associated with our dependence on collaborations with third parties, the occurrence of which could cause our collaborative arrangements to fail, including that: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required to undertake the expenditure of substantial operational, financial and management resources;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required to issue equity securities that would dilute our stockholders’ percentage of ownership;</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required to assume substantial actual or contingent liabilities;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strategic collaborators could terminate the arrangement or allow it to expire, which would delay the development and commercialization and may substantially increase the cost of developing and commercializing our products and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business combinations of a strategic collaborator or significant changes in a strategic collaborator’s business strategy may affect a strategic collaborator’s willingness or ability to complete its obligations under any arrangement;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strategic collaborators could decide to move forward with a competing product or product candidate developed either independently or in collaboration with others, including our competitors;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clinical trials conducted as part of any of these collaborations may not be successful;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collaborators may not actively or aggressively pursue development and commercialization of any product candidates that seek to achieve, or that achieves, regulatory approval;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not have access to or may be restricted from disclosing certain information regarding product candidates being developed or commercialized under a collaboration;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 collaborator with marketing and distribution rights to one or more of our product candidates that achieve regulatory approval may not commit sufficient resources to the marketing and distribution of any such product candidate;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collaborators may infringe the intellectual property rights of third parties, which may expose us to litigation and potential liability.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any such collaborations do not result in the successful development and commercialization of product candidates, or if one of our collaborators terminates its agreement with us, the development or commercialization of our products or product candidates could be delayed and our business and prospects harmed. All of the risks relating to product development, regulatory approval and commercialization apply to the activities of our existing and future collaborators.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conflicts may arise between us and our third-party collaborators, such as conflicts concerning the interpretation of clinical data, the achievement of milestones, the interpretation of financial provisions or the ownership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06705"/>
                <wp:effectExtent l="0" t="0" r="0" b="0"/>
                <wp:wrapNone/>
                <wp:docPr id="49" name="Frame4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 developed during the collaboration. For example, our existing revenue streams are largely dependent on Indivior, which holds the global commercialization rights to our approved product, Suboxone. During the years ended December 31, 2024 and 2023, Indivior represented 62% and 80% of our total revenue, respectively. If any such conflicts were to arise with Indivior or any other third party collaborators, one or more of the following events could result, each of which could delay or prevent the development or commercialization of our product or product candidates and harm our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reductions in the payment of royalties or other payments we believe are due pursuant to the applicable collaborative arrangement;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actions taken by a third-party collaborator inside or outside our collaboration which could negatively impact our rights or benefits under our collaboration;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unwillingness on the part of a third-party collaborator to keep us informed regarding the progress of its development and commercialization activities or to permit public disclosure of the results of those activities;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decision by our third-party collaborator to terminate or significantly reduce the relationship.</w:t>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Risks Related to Our Business Operations and Industry</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may experience difficulties in managing growth if our business expands to meet future needs, which could disrupt our operations.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it is not expected to be imminent, if we need to expand our business to meet demands in growth of our manufacturing operations in connection with the continued commercialization of Libervant for ARS patients aged between two and five years, and, if granted full U.S. market access, for commercialization of Libervant for older patients, and to accommodate the potential commercialization of Anaphylm in the first quarter 2026, if approved by the FDA, or other additions to our product pipeline in the future, we would expect to expand our employee base to increase our managerial, regulatory, compliance, scientific and engineering, operational, sales, marketing, financial and other resources and to hire more consultants and contractors. Future growth would impose significant additional responsibilities on our management, including the need to identify, recruit, maintain, motivate and integrate additional employees, consultants, contractors and contract employees.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Future growth could require significant capital expenditures and may divert financial resources from other projects, such as the development of our existing or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our products and product candidates, if approved, and compete effectively will depend, in part, on our ability to effectively manage any future growth.</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growth in our management team could add increased expense which we must absorb, without necessarily having commensurate growth in our revenues. Also, to date, we have only directly marketed two products in the market. If we commercialize and directly market Anaphylm, if approved for U.S. market access, this could require a significant upfront expense and create a rapid growth in our workforce. This increase in expense may negatively impact our results of operations and may add to our need for additional funds.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licensed products and, if approved, product candidates, may give rise to potential product liability claims or false marketing claims, and, if successful claims are brought against us, we may incur substantial liability.</w:t>
      </w:r>
    </w:p>
    <w:p>
      <w:pPr>
        <w:pStyle w:val="TextBody"/>
        <w:bidi w:val="0"/>
        <w:spacing w:lineRule="auto" w:line="288" w:before="0" w:after="60"/>
        <w:ind w:left="0" w:right="0" w:firstLine="720"/>
        <w:jc w:val="both"/>
        <w:rPr/>
      </w:pPr>
      <w:r>
        <w:rPr>
          <w:rFonts w:ascii="Times New Roman;sans-serif" w:hAnsi="Times New Roman;sans-serif"/>
          <w:b w:val="false"/>
          <w:color w:val="000000"/>
          <w:sz w:val="20"/>
        </w:rPr>
        <w:t>As a pharmaceutical company, we operate in a market that is subject to significant risk of liability. The sales of any of our licensed products and product candidates for which we may obtain marketing approval and the use of our product candidates in clinical trials, if any, exposes us to the risk of product liability claims alleging adverse effects from such products or product candidates and false marketing claims relating to the commercialization of such products or product candidates. Product liability claims might be brought against us by consumers, healthcare providers, pharmaceutical companies, others selling or otherwise coming into contact with our products or product candidates, or governmental agencies. Suboxone, which treats opioid addiction, has as one of its active ingredients an opioid, buprenorphine. There can be no assurance that we will not become the target of claims relating to opioid addiction as have companies that market opioids. We have been named as a defendant with Indivior in product liability claims related to dental injuries for use of Suboxone. For more detailed information regarding these claims,</w:t>
      </w:r>
      <w:r>
        <w:rPr>
          <w:color w:val="000000"/>
          <w:shd w:fill="FFFFFF" w:val="clear"/>
        </w:rPr>
        <w:t xml:space="preserve"> </w:t>
      </w:r>
      <w:r>
        <w:rPr>
          <w:rFonts w:ascii="Times New Roman;sans-serif" w:hAnsi="Times New Roman;sans-serif"/>
          <w:b w:val="false"/>
          <w:color w:val="000000"/>
          <w:sz w:val="20"/>
          <w:shd w:fill="FFFFFF" w:val="clear"/>
        </w:rPr>
        <w:t>s</w:t>
      </w:r>
      <w:r>
        <w:rPr>
          <w:rFonts w:ascii="Times New Roman;sans-serif" w:hAnsi="Times New Roman;sans-serif"/>
          <w:b w:val="false"/>
          <w:color w:val="000000"/>
          <w:sz w:val="20"/>
        </w:rPr>
        <w:t xml:space="preserve">ee </w:t>
      </w:r>
      <w:r>
        <w:rPr>
          <w:rFonts w:ascii="Times New Roman;sans-serif" w:hAnsi="Times New Roman;sans-serif"/>
          <w:b w:val="false"/>
          <w:color w:val="000000"/>
          <w:sz w:val="20"/>
          <w:shd w:fill="FFFFFF" w:val="clear"/>
        </w:rPr>
        <w:t xml:space="preserve">Part II Item 8. Financial Statements and Supplementary Data, </w:t>
      </w:r>
      <w:r>
        <w:rPr>
          <w:rFonts w:ascii="Times New Roman;sans-serif" w:hAnsi="Times New Roman;sans-serif"/>
          <w:b w:val="false"/>
          <w:color w:val="000000"/>
          <w:sz w:val="20"/>
        </w:rPr>
        <w:t xml:space="preserve">Note 23, </w:t>
      </w:r>
      <w:r>
        <w:rPr>
          <w:rFonts w:ascii="Times New Roman;sans-serif" w:hAnsi="Times New Roman;sans-serif"/>
          <w:b w:val="false"/>
          <w:i/>
          <w:color w:val="000000"/>
          <w:sz w:val="20"/>
        </w:rPr>
        <w:t>Contingencies</w:t>
      </w:r>
      <w:r>
        <w:rPr>
          <w:color w:val="000000"/>
        </w:rPr>
        <w:t xml:space="preserve"> </w:t>
      </w:r>
      <w:r>
        <w:rPr>
          <w:rFonts w:ascii="Times New Roman;sans-serif" w:hAnsi="Times New Roman;sans-serif"/>
          <w:b w:val="false"/>
          <w:color w:val="000000"/>
          <w:sz w:val="20"/>
        </w:rPr>
        <w:t>to our financial statement</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Any product liability claims, or false marketing claims, could have a material adverse effect on our business, financial position, results of operations and future growth prospects. If we cannot successfully defend against product liability claims or false marketing claims, we could incur substantial liability and costs. In addition, regardless of merit or eventual outcome, product liability claims or false marketing claims may result in: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impairment of our business reputation;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withdrawal of clinical study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06705"/>
                <wp:effectExtent l="0" t="0" r="0" b="0"/>
                <wp:wrapNone/>
                <wp:docPr id="50" name="Frame4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substantial costs due to litigation;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distraction of management’s attention from our primary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substantial monetary awards to patients or other claimants;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inability to commercialize our licensed products and product candidates;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decreased demand for our licensed products or product candidates, if approved for commercial sale.</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may not be able to maintain insurance coverage, and our existing or any future insurance policies or our own resources may not sufficiently cover claims for damages that we may receive in the future.</w:t>
      </w:r>
    </w:p>
    <w:p>
      <w:pPr>
        <w:pStyle w:val="TextBody"/>
        <w:bidi w:val="0"/>
        <w:spacing w:lineRule="auto" w:line="288" w:before="0" w:after="60"/>
        <w:ind w:left="0" w:right="0" w:firstLine="720"/>
        <w:jc w:val="both"/>
        <w:rPr/>
      </w:pPr>
      <w:r>
        <w:rPr>
          <w:rFonts w:ascii="Times New Roman;sans-serif" w:hAnsi="Times New Roman;sans-serif"/>
          <w:b w:val="false"/>
          <w:color w:val="000000"/>
          <w:sz w:val="20"/>
        </w:rPr>
        <w:t>Our business exposes us to potential product liability and other liability risks that are inherent in clinical development, manufacturing, marketing, sale and use of human therapeutic products. It is generally necessary for us to secure certain levels of insurance as a condition for the conduct of clinical trials and any sale or use of our products. We have procured product liability insurance with respect to the sale of our licensed products and all clinical trials performed to date for which we were responsible (</w:t>
      </w:r>
      <w:r>
        <w:rPr>
          <w:rFonts w:ascii="Times New Roman;sans-serif" w:hAnsi="Times New Roman;sans-serif"/>
          <w:b w:val="false"/>
          <w:i/>
          <w:color w:val="000000"/>
          <w:sz w:val="20"/>
        </w:rPr>
        <w:t>i.e.,</w:t>
      </w:r>
      <w:r>
        <w:rPr>
          <w:color w:val="000000"/>
        </w:rPr>
        <w:t xml:space="preserve"> </w:t>
      </w:r>
      <w:r>
        <w:rPr>
          <w:rFonts w:ascii="Times New Roman;sans-serif" w:hAnsi="Times New Roman;sans-serif"/>
          <w:b w:val="false"/>
          <w:color w:val="000000"/>
          <w:sz w:val="20"/>
        </w:rPr>
        <w:t>in respect of our internal product pipeline). Further, we may seek to expand our insurance coverage for our licensed products and our marketing and commercialization of any future approved product candidates as well as other risks related to our business.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product liability insurance coverage may not be sufficient to reimburse us for any expenses or losses we may suffer. Insurance coverage is becoming increasingly expensive and, in the future, we may not be able to maintain insurance coverage at an acceptable cost to us or in sufficient amounts to protect us against losses due to liability. The product liability claim against us with respect to Suboxone may make obtaining product liability insurance coverage at an acceptable cost more problematic. On occasion, large judgments have been awarded in class action lawsuits based on drugs that had unanticipated adverse effects. A successful product liability claim or series of claims brought against us could cause our stock price to decline and, if judgments exceed our insurance coverage, could materially adversely affect our results of operations and business.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rely significantly on information technology and any failure, inadequacy, interruption or security lapse of that technology, including any cybersecurity incidents, could harm our ability to operate our business effectively.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We have previously been the target of a phishing attack that resulted in unauthorized access to our email system. While our systems have been secured and strengthened, there can be no assurance that we will not experience cyber-attacks in the future, suffer indirect consequences from a cyber-attack on a third-party, or fail to anticipate, identify or offset threats of potential cyber-attacks or security breaches in a timely manner. This is especially so considering the nature of cyber-attack techniques, which change frequently, can be difficult to detect for extended periods of time and often are not recognized until they succeed. System failures, accidents or security breaches could cause interruptions in our operations and could result in a material disruption of our product development and clinical activities and business operations, in addition to possibly requiring substantial expenditures of resources to remedy. The loss of product development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Business interruptions at our manufacturing facilities could delay us in the process of developing our product candidates.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headquarters are located in Warren, New Jersey and we have manufacturing facilities in Portage, Indiana. If we encounter any disruptions to our operations at these sites or one were to shut down for any reason, including by fire, natural disaster, such as a hurricane, tornado or severe storm, power outage, systems failure, labor dispute or other unforeseen disruption, then we may be prevented from effectively operating our business. Our coverage for natural disasters may be somewhat limited for floods or earthquakes and we may not carry sufficient business interruption insurance for any unexpected events to compensate us for losses that may occur. Any losses or damages we incur could have a material adverse effect on our business operations.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research and development activities could be affected or delayed as a result of possible restrictions on animal testing.</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06705"/>
                <wp:effectExtent l="0" t="0" r="0" b="0"/>
                <wp:wrapNone/>
                <wp:docPr id="51" name="Frame4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operations involve hazardous materials and we and third parties with whom we contract must comply with environmental laws and regulations, which can be expensive and restrict how we do business.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maintain environmental liability insurance coverage to mitigate our exposure in the event of an accident or environmental discharge. In the event that we may be held liable for any consequential damage and any resulting claims for damages, which may exceed our insured limits and financial resources, we may incur costs that may materially adversely affect our business, results of operations and prospects, and the value of our shares.</w:t>
      </w: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seek FDA approval through the 505(b)(2) regulatory pathway for each of our product candidates described in this report. The Drug Price Competition and Patent Term Restoration Act of 1984, also known as the Hatch-Waxman Act, added Section 505(b)(2) to the Federal Food, Drug, and Cosmetic Act, or FDCA. Section 505(b)(2) permits the filing of an NDA where at least some of the information required for approval comes from studies that were not conducted by or for the applicant.</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permitted to pursue the 505(b)(2) regulatory pathway for a product candidate, we cannot assure you that we will receive the requisite or timely approvals for commercialization of such product candidate.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notwithstanding the approval of a number of products by the FDA under Section 505(b)(2) over the last few years, certain competitors and others have objected to the FDA’s interpretation of Section 505(b)(2). We expect that our competitors could file citizens’ petitions with the FDA in an attempt to persuade the FDA that our product candidates, or the clinical studies that support their approval, contain deficiencies. If the FDA’s interpretation of Section 505(b)(2) is successfully challenged, the FDA may be required to change its Section 505(b)(2) policies and practices, which could delay or even prevent the FDA from approving any NDA that we submit under Section 505(b)(2).</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products or product candidates may cause adverse effects or have other properties that could delay or prevent their regulatory approval or limit the scope of any approved label or market acceptance, cause us to suspend or discontinue clinical trials, abandon product candidates, or result in significant negative consequences following marketing approval, if any.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with many pharmaceutical and biological products, treatment with our products or product candidates may produce undesirable side effects or adverse reactions or events. Although the nature of our products or product candidates as containing active ingredients that have already been approved means that the side effects arising from the use of the active ingredient or class of drug in our products or product candidates is generally known, our products or product candidates may still cause undesirable side effects. These could be attributed to the active ingredient or class of drug or to our unique formulation of such products or product candidates, or other potentially harmful characteristics. Such characteristics could cause us, our IRBs, clinical trial sites, the FDA or other regulatory authorities to interrupt, delay or halt clinical trials and could result in a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06705"/>
                <wp:effectExtent l="0" t="0" r="0" b="0"/>
                <wp:wrapNone/>
                <wp:docPr id="52" name="Frame5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restrictive label or the delay, denial or withdrawal of regulatory approval, which may harm our business, financial condition and prospects significantly.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if any of our products cause serious or unexpected side effects after receiving market approval, a number of potentially significant negative consequences could result,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regulatory authorities may withdraw their approval of the product or impose restrictions on its distribution;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FDA may require implementation of a REMS;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regulatory authorities may require the addition of labeling statements, such as warnings or contraindications;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required to change the way the product is administered or conduct additional clinical studies;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could be sued and held liable for substantial damages for harm caused to patients;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reputation may suffer.</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above described events could prevent us from achieving or maintaining market acceptance of the affected product or product candidate, significantly affect our revenues and profitability from such products, and could substantially increase the costs of commercializing our products and product candidates.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extensive regulatory requirements and our approved products and product candidates that obtain regulatory approval will be subject to ongoing and continued regulatory review, which may result in significant expense and limit our ability to commercialize such products.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after a product is approved, we will remain subject to ongoing FDA and other regulatory requirements governing the labeling, packaging, storage, distribution, safety surveillance, advertising, promotion, import, export, record-keeping and reporting of safety and other post-market information. The holder of an approved NDA is obligated to monitor and report adverse events, or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 or on the conditions of approval. For example, a product’s approval may contain requirements for potentially costly post-approval studies and surveillance to monitor the safety and efficacy of the product, or the imposition of a REMS program.</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an NDA is subject to payment of user fees and adherence to commitments made in the NDA. A manufacturer is also subject to continual review and periodic inspections by the FDA and other regulatory authorities for compliance with cGMPs.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product recall, notice to physicians, withdrawal of the product from the market or suspension of manufacturing.</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products or product candidates or our manufacturing facilities fail to comply with applicable regulatory requirements, a regulatory agency may: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issue warning letters or untitled letters asserting that we are in violation of the law;</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impose restrictions on the marketing or manufacturing of the product;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seek an injunction or impose civil, criminal and/or administrative penalties, damages, assess monetary fines, require disgorgement, consider exclusion from participation in Medicare, Medicaid and other federal healthcare programs and require curtailment or restructuring of our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suspend or withdraw regulatory approval;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suspend any ongoing clinical trials;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refuse to approve a pending NDA or supplements to an NDA submitted by us;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seize product; or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refuse to allow us to enter into government contracts.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Similar post-market requirements may apply in foreign jurisdictions in which we may seek approval of our products. Any government investigation of alleged violations of law could require us to expend significant time and resources in response and could generate negative publicity. The occurrence of any event or penalty described above may inhibit our ability to market our products or commercialize our product candidates and generate revenues.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FDA’s regulations, policies or guidance may change and new or additional statutes or government regulations in the United States and other jurisdictions may be enacted that could prevent or delay regulatory approval of our product candidates or further restrict or regulate post-approval activities. We cannot predict the likelihood, nature or extent of adverse government regulation that may arise from pending or future legislation or administrative action, either in the United States or abroad. If we are not able to achieve and maintain regulatory compliance, we may not be permitted to market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06705"/>
                <wp:effectExtent l="0" t="0" r="0" b="0"/>
                <wp:wrapNone/>
                <wp:docPr id="53" name="Frame5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license our products and/or product candidates, which would materially adversely affect our ability to generate revenue and achieve or maintain profitability.</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Regulatory approval is required for each of our products in each jurisdiction in which we intend to market or license such products, and the inability to obtain such approvals would limit our ability to realize their full market potential.</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market products outside of the United States, we or our licensees must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However, the failure to obtain regulatory approval in one jurisdiction may adversely impact the ability to obtain regulatory approval in another jurisdiction. Approval processes vary among countries and can involve additional product testing and validation and additional administrative review periods. Seeking foreign regulatory approval could result in difficulties and costs and require additional non-clinical studies or clinical trials which could be costly and time consuming. Regulatory requirements can vary widely from country to country and could delay or prevent the introduction of our products in those countries. If we or our licensees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If we fail to develop, acquire or in-license other product candidates or products, our business and prospects will be limited.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growth strategy is to develop and commercialize a portfolio of product candidates in addition to our existing products and product candidates. We may also acquire or in-license early to mid-stage new chemical entities, or NCEs. Although we have internal research and development capacity that we believe will enable us to make improvements to existing compounds, we do not have internal drug discovery capabilities to identify and develop entirely new chemical entities or compounds. As a result, our primary means of expanding our pipeline of product candidates is to develop improved formulations and administration methods for existing FDA-approved products and/or select and acquire or in-license product candidates for the treatment of therapeutic indications that complement or augment our current targets, or that otherwise fit into our development or strategic plans on terms that are acceptable to us. Developing new formulations of existing products or identifying, selecting and acquiring or in-licensing promising product candidates requires substantial technical, financial and human resources expertise. Efforts to do so may not result in the actual development, acquisition or in-license of a particular product candidate, potentially resulting in a diversion of our management’s time and the expenditure of significant resources with no resulting benefit. If we are unable to add additional product candidates to our pipeline, our long-term business and prospects will be limited.</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Public concern regarding the safety of any of our drug products could result in the inclusion of unfavorable information in our labeling or require us to undertake other activities that may entail additional costs.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Considering widely publicized events concerning the safety risk of certain drug products, the FDA, members of Congress, the Government Accountability Office, medical professionals and the general public have raised concerns about potential drug safety issues. These events have resulted in the withdrawal of drug products, revisions to drug labeling that further limit use of the drug products and the establishment of risk management programs that may, for example, restrict distribution of drug products after approval. The FDAAA, grants significant expanded authority to the FDA, much of which is aimed at improving the safety of drug products before and after approval. In particular, the FDAAA authorizes the FDA to, among other things, require post-approval studies and clinical trials, mandate changes to drug labeling to reflect new safety information and require risk evaluation and mitigation strategies for certain drugs, including certain currently approved drugs. The FDAAA also significantly expands the federal government’s clinical trial registry and results databank, which we expect will result in significantly increased government oversight of clinical trials. Under the FDAAA, companies that violate these and other provisions of this law are subject to substantial civil monetary penalties, among other regulatory, civil and criminal penalties. The increased attention to drug safety issues may result in a more cautious approach by the FDA in its review of data from our clinical trials. Data from clinical trials may receive greater scrutiny, particularly with respect to safety, which may make the FDA or other regulatory authorities more likely to require additional preclinical studies or clinical trials. If the FDA requires us to provide additional clinical or preclinical data for any of our approved drug products, the indications for which that product candidate was approved may be limited or there may be specific warnings or limitations on dosing, and our efforts to commercialize any approved product may be otherwise adversely impacted.</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Uncertainty about presidential administration initiatives could negatively impact our business, financial condition and results of operations.</w:t>
      </w:r>
    </w:p>
    <w:p>
      <w:pPr>
        <w:pStyle w:val="TextBody"/>
        <w:bidi w:val="0"/>
        <w:spacing w:lineRule="auto" w:line="288" w:before="0" w:after="60"/>
        <w:ind w:left="0" w:right="0" w:firstLine="720"/>
        <w:jc w:val="both"/>
        <w:rPr/>
      </w:pPr>
      <w:r>
        <w:rPr>
          <w:rFonts w:ascii="Times New Roman;sans-serif" w:hAnsi="Times New Roman;sans-serif"/>
          <w:b w:val="false"/>
          <w:color w:val="008080"/>
          <w:sz w:val="24"/>
        </w:rPr>
        <w:t>T</w:t>
      </w:r>
      <w:r>
        <w:rPr>
          <w:rFonts w:ascii="Times New Roman;sans-serif" w:hAnsi="Times New Roman;sans-serif"/>
          <w:b w:val="false"/>
          <w:color w:val="000000"/>
          <w:sz w:val="20"/>
        </w:rPr>
        <w:t xml:space="preserve">here is significant uncertainty with respect to legislation, regulation and government policy at the federal level, as well as the state and local levels. Recent events, including the 2024 U.S. presidential election, have created a climate of heightened uncertainty and introduced new and difficult-to-quantify macroeconomic and political risks with potentially far-reaching implications. The presidential administration’s changes to U.S. policy may impact, among other things, the U.S. and global economy, international trade and relations, unemployment, immigration, taxes, healthcare, the U.S.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06705"/>
                <wp:effectExtent l="0" t="0" r="0" b="0"/>
                <wp:wrapNone/>
                <wp:docPr id="54" name="Frame5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or protect intellectual property rights of any of our products and product candidates, we may not be able to compete effectively in our market.</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upon a combination of patents, trade secret protection and confidentiality agreements to protect the intellectual property related to our products and our product candidates. The issuance, scope, validity, enforceability, strength and commercial value of patents in the biotechnology and pharmaceutical field involves complex legal and scientific questions and can be uncertain. The patent applications that we own, or in-license, may fail to result in issued patents with claims that cover the products or product candidates, if approved, in the United States or in foreign countries or territories. If this were to occur, early generic competition could be expected against our products and product candidates, if approved. There may be relevant prior art relating to our patents and patent applications which could invalidate a patent or prevent a patent from issuing based on a pending patent application. In particular, because the active pharmaceutical ingredients in many of our product candidates have been on the market as separate products for many years, it is possible that these products have previously been used off-label in such a manner that such prior usage would affect the validity of our patents or our ability to obtain patents based on our patent applications.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protection afforded by patents, we rely on trade secret protection and confidentiality agreements to protect proprietary know-how that is not patentable, processes for which patents are difficult to enforce or which we choose not to seek to patent, and any other elements of our drug development and reformulation processes that involve proprietary know-how, information or technology that is not covered by patents. Although we generally require all of our colleagues to assign their inventions to us, and we generally seek to have all of our colleagues,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or other third parties. Additionally,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may enjoy only limited geographical protection with respect to certain patents and we may not be able to protect our intellectual property rights throughout the world.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Filing and prosecuting patent applications and defending patents covering our products or product candidates, if approved, in all countries throughout the world would be prohibitively expensive. Competitors may use our and our licensors’ technologies in jurisdictions where we have not obtained patent protection to develop their own products and, further, may export otherwise infringing products to territories where we and our licensors have patent protection, but enforcement rights are not as strong as those in the United States or Europe. These products may compete with our products or product candidates, and our and our licensors’ patents or other intellectual property rights may not be effective or sufficient to prevent them from competing.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06705"/>
                <wp:effectExtent l="0" t="0" r="0" b="0"/>
                <wp:wrapNone/>
                <wp:docPr id="55" name="Frame5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Patent reform legislation could increase the uncertainties and costs surrounding the prosecution of our patent applications and the enforcement or defense of our issued patents.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obtain patents is highly uncertain because, to date, some legal principles remain unresolved, there has not been a consistent policy regarding the breadth or interpretation of claims allowed in patents in the United States and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 and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existing patents or patents that we may obtain in the future.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to us, in a given country, of a patent covering an invention is not followed by the issuance, in other countries, of patents covering the same invention, or if any judicial interpretation of the validity, enforceability, or scope of the claims in,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06705"/>
                <wp:effectExtent l="0" t="0" r="0" b="0"/>
                <wp:wrapNone/>
                <wp:docPr id="56" name="Frame5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have in the past and are likely in the future to be, involved in lawsuits to protect or enforce our patents. These lawsuits are expensive and require us to expend substantial financial resources, are time consuming, may continue for many years for one or more claims and may be unsuccessful.</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our patents or the patents of any potential licensors. To counter infringement or unauthorized use, we have been, and in the future may be, required to file infringement claims, which are expensive and time-consuming.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Interference proceedings invoked by third parties or brought by us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significantly harmed if the prevailing party does not offer us a license on commercially reasonable terms. Our bringing or defending litigation or interference proceedings may fail and, even if successful, may result in substantial costs and distract our management and other employees from our core business. We may not be able to prevent, alone or with our licensors, misappropriation of our intellectual property rights, particularly in countries where the laws may not protect those rights as fully as in the United States.</w:t>
      </w:r>
    </w:p>
    <w:p>
      <w:pPr>
        <w:pStyle w:val="TextBody"/>
        <w:bidi w:val="0"/>
        <w:spacing w:lineRule="auto" w:line="288" w:before="0" w:after="60"/>
        <w:ind w:left="0" w:right="0" w:firstLine="720"/>
        <w:jc w:val="both"/>
        <w:rPr/>
      </w:pPr>
      <w:r>
        <w:rPr>
          <w:rFonts w:ascii="Times New Roman;sans-serif" w:hAnsi="Times New Roman;sans-serif"/>
          <w:b w:val="false"/>
          <w:color w:val="000000"/>
          <w:sz w:val="20"/>
        </w:rPr>
        <w:t xml:space="preserve">A number of our issued patents have been involved in administrative proceedings, such as reexamination and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at the USPTO and opposition at the EPO. The matters are resolved, but in possible future proceedings, there can be no assurance that all claims of the challenged patents will be upheld or that the patents challenged by us will be found infringed. We may lose any of the challenged patents entirely, or we may have to amend the scope of claims to an extent which may be considered insufficient to cover our products or product candidates. If any of those scenarios were to occur, we might lose our competitive advantage in our market, and our business could be materially affected.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Third parties may commence legal proceedings alleging that we are infringing their intellectual property rights, the outcome of which would be uncertain and could have a negative impact on the success of our business.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upon our ability, and the ability of our existing and future collaborators, to develop, manufacture, market and sell our products and product candidates, if approved, and use our proprietary technologies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Numerous U.S. and foreign issued patents and pending patent applications, which are owned by third parties, exist in the fields in which we are developing product candidates. In addition, patent holding companies that focus solely on extracting royalties and settlements by enforcing patent rights may target us.</w:t>
      </w:r>
    </w:p>
    <w:p>
      <w:pPr>
        <w:pStyle w:val="TextBody"/>
        <w:bidi w:val="0"/>
        <w:spacing w:lineRule="auto" w:line="288" w:before="0" w:after="60"/>
        <w:ind w:left="0" w:right="0" w:firstLine="720"/>
        <w:jc w:val="both"/>
        <w:rPr/>
      </w:pPr>
      <w:r>
        <w:rPr>
          <w:rFonts w:ascii="Times New Roman;sans-serif" w:hAnsi="Times New Roman;sans-serif"/>
          <w:b w:val="false"/>
          <w:color w:val="000000"/>
          <w:sz w:val="20"/>
        </w:rPr>
        <w:t>We may have been and in the future may become party to or be threatened with adversarial proceedings or litigation regarding intellectual property rights with respect to our products, product candidates and technology, which may include interference or derivation proceedings, post grant review and</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before the USPTO or similar adversarial proceedings or litigation in any jurisdiction. Similarly, we or our licensors or collaborators have initiated, and in the future may initiate, such proceedings or litigation against third parties, which may include challenging the validity or scope of intellectual property rights controlled by third parties. Third parties have asserted and, in the future, may assert infringement claims against us based on existing patents or patents that may be granted in the future, regardless of their merit. There is a risk that additional third parties may choose to engage in litigation with us to enforce or to otherwise assert their patent rights against us. Even if we believe any of those claims are without merit, a court of competent jurisdiction could hold that these third-party patents are valid, enforceable and infringed, and the holders of any such patents may be able to block our ability to commercialize such product or product candidates unless we obtain a license under the applicable patents, or until such patents expire or are finally determined to be invalid or unenforceable. Similarly, if any third-party patents were held by a court of competent jurisdiction to cover aspects of our technology, holders of any such patents may be able to block our ability to develop and commercialize the applicable product or product candidate unless we obtained a license or until such patent expires or is finally determined to be invalid, unenforceable or not infringed by our product or technology. In either case, such a license may not be available on commercially reasonable terms, or at all. Even if we were able to obtain a license, it could be non-exclusive, thereby giving our competitors access to the same technologies licensed to us.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such event, we may be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06705"/>
                <wp:effectExtent l="0" t="0" r="0" b="0"/>
                <wp:wrapNone/>
                <wp:docPr id="57" name="Frame5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further practice our technologies or develop and commercialize any of our product candidates at issue, which could significantly harm our business.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obtain injunctive or other equitable relief, which could effectively block our ability to further develop and commercialize one or more of our product candidates, if approved. Defense of these claims, regardless of their merit, could involve substantial litigation expense and a substantial diversion of employee resources from our business. Third parties making such claims may have the ability to dedicate substantially greater resources to these legal actions than we or our licensors or collaborators can.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pStyle w:val="TextBody"/>
        <w:bidi w:val="0"/>
        <w:spacing w:lineRule="auto" w:line="288" w:before="0" w:after="60"/>
        <w:ind w:left="0" w:right="0" w:firstLine="405"/>
        <w:jc w:val="both"/>
        <w:rPr/>
      </w:pPr>
      <w:r>
        <w:rPr>
          <w:rFonts w:ascii="Times New Roman;sans-serif" w:hAnsi="Times New Roman;sans-serif"/>
          <w:b/>
          <w:i/>
          <w:color w:val="000000"/>
          <w:sz w:val="20"/>
        </w:rPr>
        <w:t>The patents and patent applications that we have covering our products and product candidates are limited to specific formulations and manufacturing processes, and our market opportunity for our products and product candidates may be limited by the lack of patent protection for the active ingredients and by competition from other formulations and manufacturing processes, as well as administration methods that may be developed by competitors</w:t>
      </w:r>
      <w:r>
        <w:rPr>
          <w:rFonts w:ascii="Times New Roman;sans-serif" w:hAnsi="Times New Roman;sans-serif"/>
          <w:b/>
          <w:color w:val="000000"/>
          <w:sz w:val="20"/>
        </w:rPr>
        <w:t>.</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obtained and continue to seek to obtain patent protection for our manufacturing technology, drug administering technology and our products and product candidates, including specific formulations and manufacturing processes, which may not be as effective as composition of matter coverage in preventing work-arounds by competitors. As a result, generic products that do not infringe the claims of our issued patents covering formulations and processes are, or may be, available while we are marketing our products. Competitors who obtain the requisite regulatory approval will be able to commercialize products with the same active ingredients as our products or product candidates so long as the competitors do not infringe any process, use or formulation patents that we have developed for our products or product candidates, subject to any regulatory exclusivity we may be able to obtain for our products.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patents and patent applications covering products containing the same active ingredient as our products or product candidates indicates that competitors have sought to develop and may seek to commercialize competing formulations that may not be covered by our patents and patent applications. The commercial opportunity for our products or product candidates could be significantly harmed if competitors are able to develop and commercialize alternative formulations of our products or product candidates that are different from ours and do not infringe our issued patents covering our products or use of our products.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Suboxone, Zuplenz, Sympazan, Libervant and Emylif have been approved by the FDA, and other product candidates may be approved by the FDA in the future. As additional products of ours are on the market, one or more third parties may also challenge the patents that we control covering our products, which could result in the invalidation or unenforceability of some or all of the relevant patent claims of our issued patents covering our products.</w:t>
      </w:r>
    </w:p>
    <w:p>
      <w:pPr>
        <w:pStyle w:val="TextBody"/>
        <w:bidi w:val="0"/>
        <w:spacing w:lineRule="auto" w:line="288" w:before="0" w:after="60"/>
        <w:ind w:left="0" w:right="0" w:firstLine="720"/>
        <w:jc w:val="both"/>
        <w:rPr/>
      </w:pPr>
      <w:r>
        <w:rPr>
          <w:rFonts w:ascii="Times New Roman;sans-serif" w:hAnsi="Times New Roman;sans-serif"/>
          <w:b w:val="false"/>
          <w:color w:val="000000"/>
          <w:sz w:val="20"/>
        </w:rPr>
        <w:t>If we or one of our licensees initiated legal proceedings against a third-party to enforce a patent covering one of our products or product candidates, the defendant could counterclaim, and have in certain existing proceedings counterclaimed, that the patent covering our product or product candidate is invalid and/or unenforceable. In patent litigation in the United States, defendant counterclaims alleging invalidity and/or unenforceability are common,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post-grant review, and equivalent proceedings in foreign jurisdictions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 xml:space="preserve">opposition proceedings). Such proceedings could result in revocation of or amendment to our patents in such a way that they no longer cover our products or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products or product candidates. Such a loss of patent protection could have a material adverse impact on our business. </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or our licensees to monitor the status of these fees so that we may make required payments of these fees when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06705"/>
                <wp:effectExtent l="0" t="0" r="0" b="0"/>
                <wp:wrapNone/>
                <wp:docPr id="58" name="Frame5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in which non-compliance can result in abandonment or lapse of the patents or patent applications, resulting in partial or complete loss of patent rights in the relevant jurisdiction. In such an event, potential competitors might be able to enter the market which could harm our business.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drug development strategy relies heavily upon the 505(b)(2) regulatory pathway, which requires us to certify that we do not infringe upon third-party patents covering approved drugs. Such certifications typically result in third-party claims of intellectual property infringement, the defense of which will be costly and time-consuming, and an unfavorable outcome in any litigation may prevent or delay our development and commercialization efforts which would harm our business.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or other proceedings to enforce or defend intellectual property rights are often complex in nature, may be very expensive and time-consuming, may divert our management’s attention from other aspects of our business and may result in unfavorable outcomes that could adversely impact our ability to launch and market our product candidates, or to prevent third parties from competing with our products and product candidates.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substantial amount of litigation, both within and outside the United States, involving patent and other intellectual property rights in the biotechnology and pharmaceutical industries, including patent infringement lawsuits, interferences, oppositions and inter party reexamination proceedings before the USPTO.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the risk increases that our product candidates may be subject to claims of infringement of the patent rights of third parties.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large part on our avoiding infringement of the patents and proprietary rights of third parties for existing approved drug products. Because we utilize the 505(b)(2) regulatory pathway for the approval of our products and product candidates, we rely in whole or in part on studies conducted by third parties related to those approved drug products. As a result, upon filing with the FDA for approval of our product candidates, we will be required to certify to the FDA that either: (1) there is no patent information listed in the FDA’s Orange Book with respect to our NDA; (2) the patents listed in the Orange Book have expired; (3) the listed patents have not expired, but will expire on a particular date and approval is sought after patent expiration; or (4) the listed patents are invalid or will not be infringed by the manufacture, use or sale of our proposed drug product. When we submit a paragraph IV certification to the FDA, a notice of the paragraph IV certification must also be sent to the patent owner once our 505(b)(2) NDA is accepted for filing by the FDA. The third-party may then initiate a lawsuit against us to defend the patents identified in the notice. The filing of a patent infringement lawsuit within 45 days of receipt of the notice automatically prevents the FDA from approving our NDA until the earliest of 30 months or the date on which the patent expires, the lawsuit is settled, or the court reaches a decision in the infringement lawsuit in our favor. If the third-party does not file a patent infringement lawsuit within the required 45-day period, our NDA will not be subject to the 30-month stay.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paragraph IV litigation noted above, third-party owners of patents may generally assert that we are employing their proprietary technology without authorization. There may be third-party patents or patent applications with claims to materials, formulations or methods of manufacture related to the use or manufacture of our product candidates. Because patent applications can take many years to issue, there may be currently pending or subsequently filed patent applications which may later result in issued patents that may be infringed by our products or product candidates. If any third-party patents were held by a court of competent jurisdiction to cover aspects of our product candidates, including the formulation, any method or process involved in the manufacture of any of our product candidates, any molecules or intermediates formed during such manufacturing process or any other attribute of the final product itself, the holders of any such patents may be able to block our ability to commercialize our product candidates unless we obtain a license under the applicable patents, or until such patents expire. In either case, such a license may not be available on commercially reasonable terms or at all.</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operate without infringing the intellectual property and proprietary rights of third parties. We cannot assure you that our business, products, product candidates and methods do not or will not infringe the patents or other intellectual property rights of third parties.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making claims against us may request and/or obtain injunctive or other equitable relief, which could effectively block our ability to further develop and commercialize one or more of our product candidates on a temporary or permanent basis. Defense of these claims, regardless of their merit, involves substantial litigation expense and could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or manufacturing processes,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manufacture clinical trial supplies or allow commercialization of our product candidates. We may fail to obtain any of these licenses at a reasonable cost or on reasonable terms, if at all. In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06705"/>
                <wp:effectExtent l="0" t="0" r="0" b="0"/>
                <wp:wrapNone/>
                <wp:docPr id="59" name="Frame5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event, we would be unable to further develop and commercialize one or more of our products or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and/or other forms of compensation to third parties.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challenging the inventorship or ownership of our patents and other intellectual property.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generally involves substantial costs and can be a distraction to management and other employees.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If we are not able to obtain adequate trademark protection or regulatory approval for our brand names, we may be required to re-brand affected products, which could cause delays in getting such product to market, substantively impact successful commercialization of any such product and substantially increasing our costs.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protect our rights in any trademark we use or intend to use for our products or our product candidates, we may seek to register such trademarks. Trademark registration is territory-specific and we must apply for trademark registration in the United States as well as any other country where we intend to commercialize our product or product candidates. Failure to obtain trademark registrations may place our use of the trademarks at risk or make them subject to legal challenges, which could force us to choose alternative names for our product or product candidates. In addition, the FDA and other regulatory authorities outside the United States conduct independent reviews of proposed product names for pharmaceuticals, including an evaluation of the potential for confusion with other pharmaceutical product names for medications. These regulatory authorities may also object to a proposed product name if they believe the name inappropriately makes or implies a therapeutic claim. If the FDA or other regulatory authorities outside the United States object to any of our proposed product names, we may be required to adopt alternative names for our product or product candidates. If we adopt alternative names, either because of our inability to obtain a trademark registration or because of objections from regulatory authorities, we would lose the benefit of our existing trademark applications. As a result, we may be required to expend significant additional resources in an effort to adopt a new product name that would be registrable under applicable trademark laws, not infringe the existing rights of third parties and be acceptable to the FDA and other regulatory authorities, which could adversely impact our product brand identity and successful commercialization of any product and increase our costs. Furthermore, we may not be able to build a successful brand identity for a new trademark in a timely manner or at all, which would limit our ability to commercialize our product or our product candidates.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others may be able to make products that are similar to our products or product candidates but that are not covered by the claims of the patents that we own or have exclusively licensed;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or any potential future licensors might not have been the first to file patent applications covering certain of our inventions;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issued patents that we own or have exclusively licensed may not provide coverage for all aspects of our products or product candidates in all countries;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may not develop additional proprietary technologies that are patentable;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06705"/>
                <wp:effectExtent l="0" t="0" r="0" b="0"/>
                <wp:wrapNone/>
                <wp:docPr id="60" name="Frame5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quarterly operating results may fluctuate significantly, and these fluctuations could cause our stock price to decline.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operating results to continue to be subject to significant quarterly and annual fluctuations. These fluctuations could cause our stock price to decline. Our net loss and other operating results will be affected by numerous factors,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whether the FDA requires us to complete additional, unanticipated studies, trials or other activities prior to approving any of our current and future product candidates, which would likely delay any such approval;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execution of other collaborative, licensing or similar arrangements and the timing of payments we may make or receive under these arrangements;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limited cash resources and substantial indebtedness;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variations in the level of expenses related to our future development programs;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any product liability or intellectual property infringement lawsuit in which we may become involved;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delays in obtaining, failure to obtain, or adverse developments in obtaining FDA and other regulatory approval of our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other regulatory developments affecting any of our other current and future product candidates, or the product candidates of our competitors;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costs of pre-commercialization and commercialization of any of our approved products that we market ourselves; and</w:t>
      </w:r>
    </w:p>
    <w:p>
      <w:pPr>
        <w:pStyle w:val="TextBody"/>
        <w:bidi w:val="0"/>
        <w:spacing w:before="0" w:after="6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any of our current or future product candidates receive regulatory approval, the level of underlying demand for such product candidate and wholesaler buying patterns.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w:t>
      </w:r>
    </w:p>
    <w:p>
      <w:pPr>
        <w:pStyle w:val="TextBody"/>
        <w:bidi w:val="0"/>
        <w:spacing w:lineRule="auto" w:line="288" w:before="0" w:after="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largest stockholder and management own a significant percentage of our stock and may have the ability to effectively influence matters subject to stockholder approval.</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executive officers and directors beneficially owned approximately 6.6% of our outstanding common stock. In addition, Bratton Capital Management L.P. and its affiliates beneficially owned, directly, approximately 10.8% of our outstanding common stock as of December 31, 2024. Therefore, these stockholders may have, through their respective ownership positions, the ability to influence matters requiring stockholder approval, including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substantial losses since the inception of our company and do not expect to become profitable in the near future, if ever. Under currently enacted federal income tax law, to the extent that we continue to generate taxable losses in future years, such unused losses will carry forward to offset future taxable income, if any, but our deductibility of such losses in a future year is generally limited to 80% of taxable income. Furthermore, under Section 382 of the Code,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further limited. We believe that, with our initial public offering, we may have triggered an “ownership change” limitation. In addition, we have experienced and may experience ownership changes in the future as a result of subsequent shifts in our stock ownership, including an ownership change as a result of the combined effect of our initial public offering and future equity offerings. As a result, if we earn net taxable income, our ability to use our pre-change net operating loss carryforwards to offset United States federal taxable income may be subject to limitations, which could potentially result in increased future tax liability to us.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so any returns will be limited to the value of our stock.</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06705"/>
                <wp:effectExtent l="0" t="0" r="0" b="0"/>
                <wp:wrapNone/>
                <wp:docPr id="61" name="Frame5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Provisions in our amended and restated certificate of incorporation and amended and restated bylaws, as well as provisions of Delaware law, could make it more difficult for a third-party to acquire us, or may increase the cost of acquiring us, even if doing so would benefit our stockholders, or remove our current management.</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authorizing the issuance of “blank check” preferred stock, the terms of which may be established and shares of which may be issued without stockholder approval;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limiting the removal of directors by the stockholders;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creating a classified board of directors;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establishing a supermajority stockholder vote requirement for amending certain provisions of our amended and restated certificate of incorporation and of our amended and restated bylaws;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prohibiting stockholder action by written consent, thereby requiring all stockholder actions to be taken at a meeting of our stockholders;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eliminating the ability of stockholders to call a special meeting of stockholders;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establishing advance notice and other requirements, including compliance with the SEC Universal Proxy Rules, for nominations for election to the board of directors or for proposing matters that can be acted upon at stockholder meetings.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our amended and restated certificate of incorporation or our amended and restated bylaws, any action to interpret, apply, enforce or determine the validity of our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Public health threats such as a global pandemic, or widespread outbreak of infectious disease, similar to the COVID-19 pandemic, may create uncertainties about our future operating results and financial conditions.</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Public health threats, such as the COVID-19 or any other pandemic, may have an impact on our business, financial condition, results of operations and cash flows. Prolonged volatility or significant disruption of global financial markets due in part to a public health threat could have a negative impact on our business and overall financial position. Other factors and uncertainties include, but are not limited to, increased operational costs associated with operating during and after a pandemic; evolving macroeconomic factors, including general economic uncertainty, increased labor costs, and recessionary pressures; capital and other resources needed to respond to a pandemic; along with the severity and duration of a pandemic. These risks and their impacts are difficult to predict and could continue to otherwise disrupt and adversely affect our operations and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06705"/>
                <wp:effectExtent l="0" t="0" r="0" b="0"/>
                <wp:wrapNone/>
                <wp:docPr id="62" name="Frame6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extent a global health crisis, epidemic or pandemic, such as theCOVID-19 pandemic, adversely affects our business, financial condition and results of operations, it may also have the effect of heightening many of the other risks described in this “Risk Factors” section.</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future success depends on our ability to retain key executives and to attract, retain and motivate qualified personnel.</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the principal members of our executive team and other key executives, the loss of whose services may adversely impact the achievement of our objectives. Any of our executive officers could leave our employment at any time. Recruiting and retaining other qualified employees for our business, including scientific and technical personnel, will also be critical to our success.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clinical studies may make it more challenging to recruit and retain qualified personnel. The inability to recruit key executives or the loss of the services of any executive or key employee might impede the progress of our development and commercialization objectives.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Under applicable employment laws, we may not be able to enforce covenants not to compete.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executive officers’ employment agreements include covenants not to compete. These agreements prohibit our executive officers, if they cease working for us, from competing directly with us or working for our competitors for a limited period. We may be unable to enforce these agreements or may not be able to enforce these agreements to their full extent under applicable law. If we cannot demonstrate that our interests would be harmed by such competitive behavior, we may be unable to prevent our competitors from benefiting from the expertise of our former executives and our competitiveness may be diminished.</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Compliance with ever evolving federal, state, and foreign laws relating to handling of information about individuals involves significant expenditure and resources, and any failure by us or our vendors to comply may result in significant liability, negative publicity, and/or an erosion of trust, and could materially adversely affect our business, results of operations, and financial condition.</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store, handle, transmit, use and otherwise process information related to individuals. We also depend on a number of third-party vendors in relation to the operation of our business, a number of which process data on our behalf. We and our vendors are subject to a variety of federal, state and foreign data privacy laws, rules, regulations, industry standards and other requirements, including those that apply generally to the handling of information about individuals, and those that are specific to certain industries, sectors, contexts, or locations. These requirements, and their application, interpretation and amendment are constantly evolving and developing.</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numerous federal and state laws, including state data breach notification laws and state health information privacy laws, govern the collection, use, and disclosure and protection of health-related and other personal information. The Federal Trade Commission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HIPAA.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(“protected health information,” or “PHP”) for or on behalf of such covered entities, and their covered subcontractors. HIPAA requires covered entities and business associates to develop and maintain policies with respect to the protection of, use and disclosure of PHI, including the adoption of administrative, physical and technical safeguards to protect such information, and certain notification requirements in the event of a breach of unsecured PHI.</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under HIPAA, covered entities must report breaches of unsecured PHI to affected individuals without unreasonable delay, not to exceed 60 days following discovery of the breach by a covered entity or its agents. Notification also must be made to the U.S. Department of Health and Human Services Office for Civil Rights, or OCR, and, in certain circumstances involving large breaches, to the media. Business associates must report breaches of unsecured PHI to covered entities within 60 days of discovery of the breach by the business associate or its agents. A non-permitted use or disclosure of PHI is presumed to be a breach under HIPAA unless the covered entity or business associate establishes that there is a low probability the information has been compromised consistent with requirements enumerated in HIPAA.</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Entities that are found to be in violation of HIPAA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06705"/>
                <wp:effectExtent l="0" t="0" r="0" b="0"/>
                <wp:wrapNone/>
                <wp:docPr id="63" name="Frame6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standards have been used as the basis for duty of care in state civil suits such as those for negligence or recklessness in the misuse or breach of PHI.</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Member states in the European Union and other countries have also adopted data protection laws and regulations which impose significant compliance obligations. For example, in the European Union, on May 25, 2018 the EU general Data Protection Regulation (GDPR) became applicable throughout the EU and, as a regulation, has direct effect in all member states. The GDR was designed to harmonize data privacy laws across the EU and change the way organizations approach data privacy. The GDPR introduced new obligations and expanded the extraterritorial reach of the EU data protection regime. It applies to (i) organizations that process personal data in the context of an establishment in the EU (regardless of whether the processing takes place in the EU) and (ii) organizations outside the EY that offer goods or services to data subjects in the EU, or that monitor the behavior of EU data subjects. Compliance with the GDPR involves significant obligations, including requirements around accountability and transparency, contracting with service providers that process personal data, responding to data subjects' rights requests within prescribed timelines, reporting of data breaches to data subjects and. or data protection or supervisory authorities, taking account of data protection as any new services are developed, and limiting the amount of personal data collected, stores or otherwise processed. These obligations and restrictions have a significant impact on the ability to collect, analyze and transfer personal data, including in the context of health data from clinical trials.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though we believe we and our vendors are generally in compliance with applicable laws, rules and regulations relating to privacy and data security, these laws are in some cases relatively new and the interpretation and application of these laws are uncertain. Any failure or perceived failure by us to comply with data privacy and security laws, rules, regulations, industry standards and other requirements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business. Further, these proceedings and any subsequent adverse outcomes may subject us to significant negative publicity and an erosion of trust. If any of these events were to occur, our business, results of operations, and financial condition could be materially adversely affected. </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Our colleagues, principal investigators, consultants and agents may engage in misconduct or other improper activities, including non-compliance with regulatory standards and requirements and insider trading.</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fraud or other misconduct by our colleagues, principal investigators, contract sales force, consultants and agents. Misconduct by these parties could include failure to:</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comply with FDA regulations or the regulations applicable in other jurisdictions;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provide accurate information to the FDA and other regulatory authorities;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comply with healthcare fraud and abuse laws and regulations in the United States and abroad;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report financial information or data accurately; or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disclose unauthorized activities to us.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that our colleagues, consultants or independent contractors have wrongfully used or disclosed confidential information of third parties.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employ individuals who were previously employed at other biotechnology or pharmaceutical companies. We may be subject to claims that we or our colleagues, consultants or independent contractors have inadvertently or otherwise used or disclosed confidential information of our colleagues’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even if we are successful, litigation could result in substantial cost and be a distraction to our management and other colleagues from our core business.</w:t>
      </w:r>
    </w:p>
    <w:p>
      <w:pPr>
        <w:pStyle w:val="TextBody"/>
        <w:bidi w:val="0"/>
        <w:spacing w:lineRule="auto" w:line="288" w:before="0" w:after="60"/>
        <w:ind w:left="0" w:right="0" w:firstLine="405"/>
        <w:jc w:val="both"/>
        <w:rPr>
          <w:rFonts w:ascii="Times New Roman;sans-serif" w:hAnsi="Times New Roman;sans-serif"/>
          <w:b/>
          <w:i/>
          <w:color w:val="000000"/>
          <w:sz w:val="20"/>
        </w:rPr>
      </w:pPr>
      <w:r>
        <w:rPr>
          <w:rFonts w:ascii="Times New Roman;sans-serif" w:hAnsi="Times New Roman;sans-serif"/>
          <w:b/>
          <w:i/>
          <w:color w:val="000000"/>
          <w:sz w:val="20"/>
        </w:rPr>
        <w:t>The market price of our Common Stock may be volatile and fluctuate substantially, which could result in substantial losses for purchasers of our Common Stock.</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since our IPO has been and is likely to be volatile. The stock market in general and the market for biopharmaceutical or pharmaceutical companies in particular, has experienced extreme volatility that has often been unrelated to the operating performance of particular companies. As a result of this volatility, you may not be able to sell your Common Stock at or above your purchase price. The market price for our Common Stock may be influenced by many factors,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results of clinical trials of our current and any future product candidates or those of our competitors;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success or regulatory approval of competitive drugs or therapies;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regulatory or legal developments in the United States and other countries, as to both our products and product candidates and those of our competitors;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recruitment or departure of key personnel;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level of expenses related to our current and any future product candidates or clinical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06705"/>
                <wp:effectExtent l="0" t="0" r="0" b="0"/>
                <wp:wrapNone/>
                <wp:docPr id="64" name="Frame6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results of our efforts to discover, develop, acquire or in-license additional product candidates;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actual or anticipated changes in estimates as to financial results, development, clinical trials or regulatory approval timelines or recommendations by securities analysts;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inability to obtain or delays in obtaining adequate drug supply for any approved drug or inability to do so at acceptable prices;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significant lawsuits, including patent or stockholder litigation;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variations in our financial results or those of companies that are perceived to be similar to us, or our failure to achieve anticipated financial results or funding;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market conditions in the pharmaceutical and biotechnology sectors;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inflation and rising interest rates;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general economic, industry and market conditions;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other factors described in this “Risk Factors” section.</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If securities analysts do not publish research or reports about our business or if they publish negative evaluations of our Company, the price of our Common Stock could decline.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relies, in part, on the research and reports that industry and financial analysts publish about us or our business. We currently have limited research coverage by industry and financial analysts. Should any analysts then covering our business downgrade their evaluations of our stock, the price of our stock could decline. If any analysts then covering our business cease to cover our stock, we could lose visibility in the market for our stock, which in turn could cause our stock price to decline.</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We are a “smaller reporting company”, and we cannot be certain if the reduced reporting requirements applicable to smaller reporting companies will make our Common Stock less attractive to investors.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in Rule 405 under the Securities Act which allows us to take advantage of many of the exemptions from disclosure requirements available to “emerging growth companies,” as defined in the JOBS Act, including reduced disclosure obligations regarding executive compensation in our periodic reports and proxy statements and certain reduced financial disclosures in our periodic reports, including this Annual Report on Form 10-K. We are eligible to remain a smaller reporting company for so long as we have a public float (based on our Common Stock equity) of less than $250 million measured as of the last business day of our most recently completed second fiscal quarter or a public float (based on our Common Stock equity) of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 attractive as a result of these disclosure exemptions, there may be a less active trading market for our Common Stock and our stock price may be more volatile.</w:t>
      </w:r>
    </w:p>
    <w:p>
      <w:pPr>
        <w:pStyle w:val="TextBody"/>
        <w:bidi w:val="0"/>
        <w:spacing w:lineRule="auto" w:line="288" w:before="0" w:after="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pStyle w:val="TextBody"/>
        <w:bidi w:val="0"/>
        <w:spacing w:lineRule="auto" w:line="288" w:before="0" w:after="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Sales of a substantial number of shares of our Common Stock in the public market by our existing stockholders would cause our stock price to fall.</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by our existing stockholders, including shares issued to colleagues and directors in respect of the termination of our Performance Unit Plans, or PUP Plans,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holders of our securities are entitled to rights with respect to the registration of their shares under the Securities Act. Registration of these shares under the Securities Act has resulted in a substantial amount of these shares becoming freely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06705"/>
                <wp:effectExtent l="0" t="0" r="0" b="0"/>
                <wp:wrapNone/>
                <wp:docPr id="65" name="Frame6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tradable without restriction under the Securities Act. Any sales of securities by these stockholders could have a material adverse effect on the trading price of our Common Stock.</w:t>
      </w:r>
    </w:p>
    <w:p>
      <w:pPr>
        <w:pStyle w:val="TextBody"/>
        <w:bidi w:val="0"/>
        <w:spacing w:lineRule="auto" w:line="288" w:before="0" w:after="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could adversely affect our current and projected business operations and our financial conditions and results of operation.</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Adverse developments that affect financial institutions, such as events involving liquidity that are rumored or actual, have in the past and may in the future lead to bank failures and market-wide liquidity problems. Although the Department of the Treasury, the Federal Reserve and the FDIC may take action to mitigate the risk of potential losses, widespread demands for customer withdrawals or other liquidity needs of financial institutions for immediate liquidity may exceed the capacity of such program.</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assess our banking relationships as we believe necessary or appropriate, our access to cash in amounts adequate to finance or capitalization our current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critical vendor or business partner could be adversely affected by any of the liquidity or other risks that are described above as factors, which in turn, could have a material adverse effect on our current and/or projected business operations and results of operations and financial condition. Any business partner or supplier bankruptcy or insolvency, or any breach or default by a business partner or supplier, or the loss of any significant business partner or supplier relationships, could result in material adverse impacts on our current and/or projected business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06705"/>
                <wp:effectExtent l="0" t="0" r="0" b="0"/>
                <wp:wrapNone/>
                <wp:docPr id="66" name="Frame6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12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Aquestive’s cybersecurity program is built on four key pillars: Governance, Process, Compliance and Audit. While we face risks from cybersecurity threats that could have a material adverse effect on our business, financial condition, and results of operations, Aquestive’s cybersecurity program is built upon a set of policies, procedures, and standards supported by training and awareness. In addition, cybersecurity risks are also reviewed as part of our overall Enterprise Risk Management program.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cybersecurity team has significant experience in managing cybersecurity programs and has engaged with a MSSP to deploy state of the art cybersecurity technologies and gather threat intelligence and cyber risk trends. The cybersecurity program is executed with the MSSP, which provides active threat monitoring, risk assessment and incident response capabilities to timely assess and address any material cyber risk that could impact our business operations.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occasion, we engage other external experts, including cybersecurity assessors, consultants, and auditors to evaluate cybersecurity measures and risk management processes, including those applicable to Aquestive. We depend on and engage various third parties, including suppliers, vendors, and service providers, to operate. We rely on the expertise of our risk management, legal, information technology, and compliance personnel, as well as our MSSP, when identifying and overseeing risks from cybersecurity threats associated with our use of such entities.</w:t>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Management/Board</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Vice President of Information Technology (the “IT Officer”), along with the broader Information Technology function, is responsible for assessing and managing Aquestive’s cybersecurity risk and informing senior management and the Audit Committee of the Board regarding cybersecurity risks and the prevention, detection, mitigation, and remediation of cybersecurity incidents. The IT Officer reports to the Chief Executive Officer and leads our cybersecurity program. Our IT Officer has been responsible for this function at Aquestive for 10 years and has over eleven years of experience in information security strategy and the management of cybersecurity risk. The internal Aquestive IT team has over fifteen years of technical experience, program management and architecture experience in managing cyber risk and information security.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provides strategic oversight of Aquestive’s cybersecurity matters, including risks associated with cybersecurity threats. The IT Officer briefs the Audit Committee on the effectiveness of Aquestive's cybersecurity program quarterly with a more in depth review done annually.</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impact of risks from cybersecurity threats on the Company are assessed on an ongoing basis, and how such risks could materially affect the Company’s business strategy, operational results, and financial condition are regularly evaluated. During the reporting period, we have not identified any risks from cybersecurity threats or incidents, including as a result of previous cybersecurity incidents, that we believe have materially impacted, or are reasonably likely to materially affect, the Company, including our business strategy, operational results, and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our 8,400-square-foot current production facility (Melton) in Portage, Indiana, which houses certain research and development offices and cGMP manufacturing operations. The lease contains an option to purchase the facility at any time during the lease term along with a right of first refusal to purchase the facility. On February 28, 2023, we extended our Melton facility lease which will expire March 31, 2028 under the same terms and conditions as the prior lease.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lease a 73,000-square-foot facility (Ameriplex) in Portage, Indiana, to house additional packaging, R&amp;D and other operations. As amended, this lease has a term that extends through September 30, 2028 and contains a renewal option that could extend the lease through September 30, 2033.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a 19,610-square-foot headquarters and principal laboratory in Warren, New Jersey. As amended, this lease has a term that extends our lease through August 2026 and contains a renewal option that could extend the lease through August 2029.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own any real property.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For more information on Legal Proceedings, see Part II Item 8. Financial Statements and Supplementary Data, Note 23,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06705"/>
                <wp:effectExtent l="0" t="0" r="0" b="0"/>
                <wp:wrapNone/>
                <wp:docPr id="67" name="Frame6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pPr>
      <w:r>
        <w:rPr>
          <w:rFonts w:ascii="Times New Roman;sans-serif" w:hAnsi="Times New Roman;sans-serif"/>
          <w:b/>
          <w:color w:val="000000"/>
          <w:sz w:val="20"/>
        </w:rPr>
        <w:t>Item 5.    Market for Registrant</w:t>
      </w:r>
      <w:r>
        <w:rPr>
          <w:color w:val="000000"/>
        </w:rPr>
        <w:t>’</w:t>
      </w:r>
      <w:r>
        <w:rPr>
          <w:rFonts w:ascii="Times New Roman;sans-serif" w:hAnsi="Times New Roman;sans-serif"/>
          <w:b/>
          <w:color w:val="000000"/>
          <w:sz w:val="20"/>
        </w:rPr>
        <w:t>s Common Equity, Related Stockholder Matters and Issuer Purchases of Equity Securities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began trading on the Nasdaq Global Select Market on July 24, 2018 and now trades on the Nasdaq Global Market under the symbol “AQST”. Prior to that date there was no public market for our Common Stock.</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Record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 2025, we had approximately 84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direction of our board of directors and will depend on then-existing conditions, including our financial conditions, operating results, contractual restrictions, capital requirements, business prospects and other factors our board of directors may deem relevant.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Recent Sale of Unregistered Securities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Purchases of Equity Securities by the Issuer and Affiliated Purchasers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06705"/>
                <wp:effectExtent l="0" t="0" r="0" b="0"/>
                <wp:wrapNone/>
                <wp:docPr id="68" name="Frame6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of our financial condition and results of operations should be read in conjunction with our financial statements and the notes to those financial statements appearing elsewhere in the Annual Report on Form 10-K. This discussion contains forward-looking statements that involve significant risks and uncertainties. As a result of many factors, such as those set forth under “Risk Factors” in Part 1 Item 1A of this Annual Report on Form 10-K, our actual results may differ materially from those anticipated in these forward-looking statements. All dollar amounts are stated in thousands.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Aquestive Therapeutics, Inc.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have a proprietary commercial product, Libervant® (diazepam) Buccal Film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seizure clusters, acute repetitive seizures) that are distinct from a patient’s usual seizure pattern in patients with epilepsy between two and five years of age, which was launched in April 2024. We are advancing a product pipeline for the treatment of severe allergic reactions, including anaphylaxis, under the trade name "Anaphylm™", and our Adrenaverse™ epinephrine prodrug pipeline platform. We have five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Our production facilities are located in Portage, Indiana, and our corporate headquarters and primary research laboratory facilities are based in Warren, New Jersey.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in four primary categories: manufacture and supply revenue, license and royalty revenue, co-development and research fees, and proprietary product revenue, net.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Manufacture and Supply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based on receipt of purchase orders from our licensees, and our licensees have an obligation to accept these orders once quality assurance validates the quality of the manufactured product with agreed upon technical specifications. In most cases. our licensees are responsible for all other aspects of commercialization of these products, and we have no role, either direct or indirect, in our customers’ commercialization activities, including those related to marketing, pricing, sales, payor access and regulatory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 and Royalty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Co-development and Research Fees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our research and development projects may range from several months to as long as three years. Although each contractual arrangement is unique, common milestones contained in these arrangements include those for the performance of efficacy and other tests, reports of findings, formulation of initial prototypes, production of stability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06705"/>
                <wp:effectExtent l="0" t="0" r="0" b="0"/>
                <wp:wrapNone/>
                <wp:docPr id="69" name="Frame6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Proprietary product revenue, net</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net revenue is recognized when product is shipped and title passes to the customer, typically at time of delivery. At the time of sale, estimates for various revenue allowances are recorded based on historical trends and judgmental estimates. For sales of Libervant for patients between two to five years of age,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Manufacture and Supply Costs and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proprietary products coming online, we may add licensee products which may need additional resources to manufacture. If such growth should occur for higher volume product opportunities such as Suboxone and Ondif, we would incur increased costs associated with hiring additional personnel to support the increased manufacturing and supply costs arising from higher manufactured volumes from proprietary and licensed products.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significant resources on our research and development activities. Research and development expenses primarily consist of:</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employee-related expenses, including compensation, benefits, share-based compensation and travel expense;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external research and development expenses incurred under arrangements with third parties, such as CROs, investigational sites and consultants;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cost of acquiring, developing and manufacturing clinical study materials;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costs associated with preclinical and clinical activities and regulatory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continue to be significant over the next several years as we continue to develop existing product candidates such as Anaphylm, AQST-108 and others, and as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06705"/>
                <wp:effectExtent l="0" t="0" r="0" b="0"/>
                <wp:wrapNone/>
                <wp:docPr id="70" name="Frame6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salaries, benefits, share-based compensation, other related costs for executive, finance, and operational personnel. Other costs include facility and related costs not otherwise included in research and development expenses such as: professional fees for patent-related and other legal expenses, regulatory fees, consulting, tax and accounting services; insurance; market research; advisory board and key opinion leaders; depreciation; and general corporate expenses, inclusive of IT systems-related costs. In addition, these expenses also include warehousing, distribution, selling and business development and other costs.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manage business costs to prepare for a potential future decline in Suboxone revenue and other external factors affecting our business, as we continue to focus on our core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Continuing the development of Anaphylm and AQST-108;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Commercializing Libervant for after approval from the FDA on April 26, 2024 for the acute treatment of intermittent, stereotypic episodes of frequent seizure activity that are distinct from a patient’s usual seizure pattern in pediatric patients with epilepsy between two to five years of age.</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consists of interest costs on the outstanding balances of our 12.5% Notes and 13.5% Notes at a fixed rate of 12.5% and 13.5%, respectively, payable quarterly, as well as amortization of loan costs and debt discounts. The redemption of 12.5% Notes and the issuance of 13.5% Notes are discussed in Note 15,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to our financial statements. In addition, see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below for further detail on our 12.5% Notes and 13.5% Notes.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related to Royalty Obligations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connection with the issuance of the 13.5% Notes, we entered into the Royalty Rights Agreements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These royalty agreements are classified as debt, and the value of the $45,000 13.5% Notes has been allocated between debt and the Royalty Obligations based on their relative fair market values. The excess of future estimated royalty payments of $56,926 over the $13,856 of the allocated fair value is recognized as a discount related to the Royalty Right Agreements and is amortized as interest expense using the effective interest method. The 13.5% Notes are discussed in Part II Item 8. Financial Statements and Supplementary Data, Note 15, </w:t>
      </w:r>
      <w:r>
        <w:rPr>
          <w:rFonts w:ascii="Times New Roman;sans-serif" w:hAnsi="Times New Roman;sans-serif"/>
          <w:b w:val="false"/>
          <w:i/>
          <w:color w:val="000000"/>
          <w:sz w:val="20"/>
        </w:rPr>
        <w:t>Long-Term Debt.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related to Sale of Future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we entered into the Monetization Agreement with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December 31, 2024 under the Monetization Agreement.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Monetization Agreement, additional contingent payments of up to $75,000 may be due to us upon the achievement of worldwide royalty and other commercial targets within a specified timeframe, which could result in total potential proceeds of $125,000. In June 2023, Sunovion announced that it has voluntarily withdrawn KYNMOBI from the U.S. and Canadian markets, therefore, we likely will not receive any of the additional contingent payments under the Monetization agreement. We discontinued recording interest expense related to the sale of future revenue under the Monetization agreement in the fourth quarter of 2022.</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During the second quarter of 2020, under the Sunovion License Agreement, we recognized $8,000 of royalty revenue and corresponding royalty receivable, related to the $1,000 annual minimum guaranteed royalty that is due in each of the subsequent eight years. In connection with the Monetization Agreement, we performed an assessment under ASC 860, </w:t>
      </w:r>
      <w:r>
        <w:rPr>
          <w:rFonts w:ascii="Times New Roman;sans-serif" w:hAnsi="Times New Roman;sans-serif"/>
          <w:b w:val="false"/>
          <w:i/>
          <w:color w:val="000000"/>
          <w:sz w:val="20"/>
        </w:rPr>
        <w:t>Transfer and Servicing</w:t>
      </w:r>
      <w:r>
        <w:rPr>
          <w:color w:val="000000"/>
        </w:rPr>
        <w:t xml:space="preserve"> </w:t>
      </w:r>
      <w:r>
        <w:rPr>
          <w:rFonts w:ascii="Times New Roman;sans-serif" w:hAnsi="Times New Roman;sans-serif"/>
          <w:b w:val="false"/>
          <w:color w:val="000000"/>
          <w:sz w:val="20"/>
        </w:rPr>
        <w:t xml:space="preserve">to determine whether the existing receivable was transferred to Marathon and concluded that the receivable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06705"/>
                <wp:effectExtent l="0" t="0" r="0" b="0"/>
                <wp:wrapNone/>
                <wp:docPr id="71" name="Frame6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 xml:space="preserve">not transferred. See Part II Item 8. Financial Statements and Supplementary Data, Note 17, </w:t>
      </w:r>
      <w:r>
        <w:rPr>
          <w:rFonts w:ascii="Times New Roman;sans-serif" w:hAnsi="Times New Roman;sans-serif"/>
          <w:b w:val="false"/>
          <w:i/>
          <w:color w:val="000000"/>
          <w:sz w:val="20"/>
        </w:rPr>
        <w:t>Sale of Future Revenue</w:t>
      </w:r>
      <w:r>
        <w:rPr>
          <w:rFonts w:ascii="Times New Roman;sans-serif" w:hAnsi="Times New Roman;sans-serif"/>
          <w:b w:val="false"/>
          <w:color w:val="000000"/>
          <w:sz w:val="20"/>
        </w:rPr>
        <w:t xml:space="preserve">, and Note 13, </w:t>
      </w:r>
      <w:r>
        <w:rPr>
          <w:rFonts w:ascii="Times New Roman;sans-serif" w:hAnsi="Times New Roman;sans-serif"/>
          <w:b w:val="false"/>
          <w:i/>
          <w:color w:val="000000"/>
          <w:sz w:val="20"/>
        </w:rPr>
        <w:t>Other-Non-Current Assets</w:t>
      </w:r>
      <w:r>
        <w:rPr>
          <w:color w:val="000000"/>
        </w:rPr>
        <w:t xml:space="preserve"> </w:t>
      </w:r>
      <w:r>
        <w:rPr>
          <w:rFonts w:ascii="Times New Roman;sans-serif" w:hAnsi="Times New Roman;sans-serif"/>
          <w:b w:val="false"/>
          <w:color w:val="000000"/>
          <w:sz w:val="20"/>
        </w:rPr>
        <w:t>for further detail.</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Interest Income and other income, net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 consists of earnings derived from an interest-bearing account, investments in money market Treasury mutual funds and other miscellaneous income and expense items. The interest-bearing account and money market Treasury mutual funds have no minimum amounts to be maintained in the accounts nor any fixed length of period for which interest and dividends are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Comparison of Years Ended December 31, 2024 and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our results of operations explains the material drivers of these results of operations.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revenue data for the periods indicated.</w:t>
      </w:r>
    </w:p>
    <w:tbl>
      <w:tblPr>
        <w:tblW w:w="8137" w:type="dxa"/>
        <w:jc w:val="left"/>
        <w:tblInd w:w="0" w:type="dxa"/>
        <w:tblLayout w:type="fixed"/>
        <w:tblCellMar>
          <w:top w:w="28" w:type="dxa"/>
          <w:left w:w="28" w:type="dxa"/>
          <w:bottom w:w="28" w:type="dxa"/>
          <w:right w:w="28" w:type="dxa"/>
        </w:tblCellMar>
      </w:tblPr>
      <w:tblGrid>
        <w:gridCol w:w="1047"/>
        <w:gridCol w:w="921"/>
        <w:gridCol w:w="926"/>
        <w:gridCol w:w="109"/>
        <w:gridCol w:w="109"/>
        <w:gridCol w:w="10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33"/>
        <w:gridCol w:w="233"/>
        <w:gridCol w:w="376"/>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Proprietary</w:t>
            </w:r>
            <w:r>
              <w:rPr>
                <w:color w:val="000000"/>
              </w:rPr>
              <w:t> </w:t>
            </w:r>
            <w:r>
              <w:rPr>
                <w:rFonts w:ascii="Times New Roman;sans-serif" w:hAnsi="Times New Roman;sans-serif"/>
                <w:b w:val="false"/>
                <w:color w:val="000000"/>
                <w:sz w:val="20"/>
              </w:rPr>
              <w:t>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Revenues increased 14% or $6,978 in 2024 compared to the same period in 2023. The increase was primarily due to certain one-time increases in license and royalty revenue and increases in co-development and research fees, partially offset by decreases in manufacture and supply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 decreased 9% or $3,829 for the year ended December 31, 2024 compared to the same period in 2023. This decrease was primarily due to a $4,069 decrease in Suboxone revenues mainly due to a decrease in volume and retroactive price increases in the prior period that were not present in 2024, and a $702 decrease in Sympazan revenue. These decreases were partially offset by a $586 increase in Emylif revenues from Zambon and a $368 increase in Ondif revenue which were attributable to an increase in volume. As part of the Indivior Amendment 11 to the Commercial Exploitation Agreement, we received retroactive price increases related to 2022 Suboxone purchases in the amount of $1,682 which was recognized in Manufacture and supply revenue in the year ended December 31, 2023. There were no retroactive price adjustments included in Manufacture and supply revenue for the year ended December 31, 2024.</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and royalty revenue increased 185% or $9,969 for the year ended December 31, 2024 compared to the same period in 2023. This increase was primarily due to the one-time recognition of deferred revenues of $11,544 due to the terminations of licensing and supply agreements. These increases were partially offset by a $1,500 decrease in milestone licensing revenue for Azstarys from Zevra Therapeutics recognized in the prior year.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 increased 37% or $523 for the year ended December 31, 2024 compared to the same period in 2023. The increase was driven by the timing of the achievement of research and development performance obligations which are expected to fluctuate from one reporting period to the next.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product revenue, net increased by $315 for the year ended December 31, 2024 compared to the same period in 2023 due to the launch of Libervant for patients between two to five years of age. This increase was partially offset by an additional accrual for returns allowances related to the period prior to the outlicensing to Assertio of our proprietary product, Sympazan, which is recorded as an addition to accrued distribution expenses and sales return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06705"/>
                <wp:effectExtent l="0" t="0" r="0" b="0"/>
                <wp:wrapNone/>
                <wp:docPr id="72" name="Frame7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Expenses, Interest Income and Other Income: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expense data for the periods indicated:</w:t>
      </w:r>
    </w:p>
    <w:tbl>
      <w:tblPr>
        <w:tblW w:w="9532" w:type="dxa"/>
        <w:jc w:val="left"/>
        <w:tblInd w:w="0" w:type="dxa"/>
        <w:tblLayout w:type="fixed"/>
        <w:tblCellMar>
          <w:top w:w="28" w:type="dxa"/>
          <w:left w:w="28" w:type="dxa"/>
          <w:bottom w:w="28" w:type="dxa"/>
          <w:right w:w="28" w:type="dxa"/>
        </w:tblCellMar>
      </w:tblPr>
      <w:tblGrid>
        <w:gridCol w:w="1561"/>
        <w:gridCol w:w="1375"/>
        <w:gridCol w:w="1384"/>
        <w:gridCol w:w="109"/>
        <w:gridCol w:w="109"/>
        <w:gridCol w:w="10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7"/>
        <w:gridCol w:w="218"/>
        <w:gridCol w:w="376"/>
      </w:tblGrid>
      <w:tr>
        <w:trPr/>
        <w:tc>
          <w:tcPr>
            <w:tcW w:w="156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royalty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costs and expenses decreased 14%, or $2,959, for the year ended December 31, 2024 compared to the same period in 2023. The decrease in manufacture and supply costs was due to lower volume of strips sold, changes in product mix, and lower production costs.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55%, or $7,176, for the year ended December 31, 2024 compared to the same period in 2023. The increase in research and development expenses is primarily due to clinical trial costs and product research expenses associated with the continued advancement of the Anaphylm and AQST-108 programs, increases in personnel costs, and an increase in share-based compensation. The tables below provide a breakdown of the major costs included in total Research and development expenses and project costs by type of expense for each of the main clinical development projects in which we are engaged for each period presented:</w:t>
      </w:r>
    </w:p>
    <w:tbl>
      <w:tblPr>
        <w:tblW w:w="7987" w:type="dxa"/>
        <w:jc w:val="left"/>
        <w:tblInd w:w="0" w:type="dxa"/>
        <w:tblLayout w:type="fixed"/>
        <w:tblCellMar>
          <w:top w:w="28" w:type="dxa"/>
          <w:left w:w="28" w:type="dxa"/>
          <w:bottom w:w="28" w:type="dxa"/>
          <w:right w:w="28" w:type="dxa"/>
        </w:tblCellMar>
      </w:tblPr>
      <w:tblGrid>
        <w:gridCol w:w="1019"/>
        <w:gridCol w:w="895"/>
        <w:gridCol w:w="905"/>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37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Project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Preclinical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and Outside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808" w:type="dxa"/>
        <w:jc w:val="left"/>
        <w:tblInd w:w="0" w:type="dxa"/>
        <w:tblLayout w:type="fixed"/>
        <w:tblCellMar>
          <w:top w:w="28" w:type="dxa"/>
          <w:left w:w="28" w:type="dxa"/>
          <w:bottom w:w="28" w:type="dxa"/>
          <w:right w:w="28" w:type="dxa"/>
        </w:tblCellMar>
      </w:tblPr>
      <w:tblGrid>
        <w:gridCol w:w="423"/>
        <w:gridCol w:w="372"/>
        <w:gridCol w:w="376"/>
        <w:gridCol w:w="196"/>
        <w:gridCol w:w="646"/>
        <w:gridCol w:w="109"/>
        <w:gridCol w:w="109"/>
        <w:gridCol w:w="109"/>
        <w:gridCol w:w="109"/>
        <w:gridCol w:w="196"/>
        <w:gridCol w:w="556"/>
        <w:gridCol w:w="109"/>
        <w:gridCol w:w="135"/>
        <w:gridCol w:w="120"/>
        <w:gridCol w:w="121"/>
        <w:gridCol w:w="196"/>
        <w:gridCol w:w="556"/>
        <w:gridCol w:w="109"/>
        <w:gridCol w:w="109"/>
        <w:gridCol w:w="109"/>
        <w:gridCol w:w="109"/>
        <w:gridCol w:w="196"/>
        <w:gridCol w:w="556"/>
        <w:gridCol w:w="109"/>
        <w:gridCol w:w="135"/>
        <w:gridCol w:w="120"/>
        <w:gridCol w:w="121"/>
        <w:gridCol w:w="109"/>
        <w:gridCol w:w="109"/>
        <w:gridCol w:w="109"/>
        <w:gridCol w:w="196"/>
        <w:gridCol w:w="421"/>
        <w:gridCol w:w="109"/>
        <w:gridCol w:w="109"/>
        <w:gridCol w:w="109"/>
        <w:gridCol w:w="109"/>
        <w:gridCol w:w="196"/>
        <w:gridCol w:w="406"/>
        <w:gridCol w:w="109"/>
        <w:gridCol w:w="120"/>
        <w:gridCol w:w="120"/>
        <w:gridCol w:w="121"/>
        <w:gridCol w:w="196"/>
        <w:gridCol w:w="331"/>
        <w:gridCol w:w="109"/>
        <w:gridCol w:w="109"/>
        <w:gridCol w:w="109"/>
        <w:gridCol w:w="109"/>
        <w:gridCol w:w="196"/>
        <w:gridCol w:w="571"/>
        <w:gridCol w:w="109"/>
        <w:gridCol w:w="118"/>
        <w:gridCol w:w="118"/>
        <w:gridCol w:w="170"/>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br/>
              <w:t> inc /</w:t>
              <w:br/>
              <w:t>dec</w:t>
            </w:r>
          </w:p>
        </w:tc>
        <w:tc>
          <w:tcPr>
            <w:tcW w:w="20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Anaphylm</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br/>
              <w:t> inc /</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AQST-108</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br/>
              <w:t> inc /</w:t>
              <w:br/>
              <w:t>dec</w:t>
            </w:r>
          </w:p>
        </w:tc>
        <w:tc>
          <w:tcPr>
            <w:tcW w:w="18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Libervant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br/>
              <w:t> inc /</w:t>
              <w:br/>
              <w:t>dec</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Clinical Trials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and Manufacturing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Research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Project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project expenses for Anaphylm increased 63%, or $3,645, for the year ended December 31, 2024 compared to the same period in 2023. Clinical trial expenses and product research expenses for Anaphylm increased $3,544 and $467, respectively, offset by decreases in development and manufacturing of $366 for the year ended December 31, 2024 compared to the same period in 2023. In 2024, Clinical trial expenses for Anaphylm of $8,231 were primarily due to Clinical trial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06705"/>
                <wp:effectExtent l="0" t="0" r="0" b="0"/>
                <wp:wrapNone/>
                <wp:docPr id="73" name="Frame7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associated with the continued advancement of the Anaphylm program. In 2023, Clinical trial expenses for Anaphylm of $4,687 were related to the activities leading up to the Phase 3 PK Study. Total project expenses for AQST-108 increased $786 for the year ended December 31, 2024 compared to the same period in 2023 and were related to feasibility work for AQST-108. In 2023, Clinical trial expenses for Libervant of $1,090 were a credit from third party contractors upon the post completion audit of a study. In 2023, product research expenses for Libervant of $215 were primarily due to data integration and modeling work.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R&amp;D personnel costs increased by 13%, or $734, for the year ended December 31, 2024 compared to the same period in 2023, due to additional headcount. R&amp;D share-based compensation increased by $759, or 166%, which was primarily related to awards granted to our Chief Medical Officer upon his commencement of employment and the effect of new grants in 2024 to R&amp;D personnel. </w:t>
      </w:r>
      <w:r>
        <w:rPr>
          <w:rFonts w:ascii="Times New Roman;sans-serif" w:hAnsi="Times New Roman;sans-serif"/>
          <w:b w:val="false"/>
          <w:color w:val="000000"/>
          <w:sz w:val="20"/>
          <w:shd w:fill="FFFFFF" w:val="clear"/>
        </w:rPr>
        <w:t>All other R&amp;D expenses include rent, utilities, maintenance and other expenses and fees.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58%, or $18,430, for the year ended December 31, 2024 as compared to the same period in 2023. The increase primarily represents higher commercial spending of approximately $3,750, higher personnel costs of approximately $3,000, severance costs of approximately $2,900, higher share-based compensation expenses of $2,300, higher regulatory and licensing fees of approximately $1,400 related to the regulatory fee for Libervant, higher legal fees of $520, and higher expenses of $4,600 due to a change in the allocation of manufacture and supply costs compared to the prior period, partially offset by lower insurance expenses of $1,150.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76%, or $4,785, for the year ended December 31, 2024 compared to the same period in 2023. The increase was mostly driven by the increased amortization of debt issuance costs and discounts and higher interest expense on the 13.5% Notes refinanced in November 2023.</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related to amortization of the discount on the royalty obligations was $5,459 and $905 for the years ended December 31, 2024 and 2023, respectively. </w:t>
      </w:r>
      <w:r>
        <w:rPr>
          <w:rFonts w:ascii="Times New Roman;sans-serif" w:hAnsi="Times New Roman;sans-serif"/>
          <w:b w:val="false"/>
          <w:color w:val="000000"/>
          <w:sz w:val="20"/>
          <w:shd w:fill="FFFFFF" w:val="clear"/>
        </w:rPr>
        <w:t xml:space="preserve">These amounts are due to the accounting associated with the royalty obligations as part of the 13.5% Notes issuance </w:t>
      </w:r>
      <w:r>
        <w:rPr>
          <w:rFonts w:ascii="Times New Roman;sans-serif" w:hAnsi="Times New Roman;sans-serif"/>
          <w:b w:val="false"/>
          <w:color w:val="000000"/>
          <w:sz w:val="20"/>
        </w:rPr>
        <w:t>in November 2023. The year ended December 31, 2024 reflects 12 months of activity while the year ended December 31, 2023 reflects 2 months of activity.</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related to the sale of future revenue was $236 and $220 for the years ended December 31, 2024 and 2023. </w:t>
      </w:r>
      <w:r>
        <w:rPr>
          <w:rFonts w:ascii="Times New Roman;sans-serif" w:hAnsi="Times New Roman;sans-serif"/>
          <w:b w:val="false"/>
          <w:color w:val="000000"/>
          <w:sz w:val="20"/>
          <w:shd w:fill="FFFFFF" w:val="clear"/>
        </w:rPr>
        <w:t xml:space="preserve">These amounts are due to the accounting associated with the sale of future revenue related to KYNMOBI royalties sold to Marathon on November 3, 2020 and do not represent or imply a monetary obligation or cash output at any time during the life of the transaction. These amounts represent amortization of issuance costs. </w:t>
      </w:r>
      <w:r>
        <w:rPr>
          <w:rFonts w:ascii="Times New Roman;sans-serif" w:hAnsi="Times New Roman;sans-serif"/>
          <w:b w:val="false"/>
          <w:color w:val="000000"/>
          <w:sz w:val="20"/>
        </w:rPr>
        <w:t xml:space="preserve">In June 2023, Sunovion announced that it has voluntarily withdrawn KYNMOBI from the U.S. and Canadian markets, therefore, we likely will not receive any of the additional contingent payments under the Monetization agreement. As a result, we discontinued recording interest expense related to the sale of future revenue in the fourth quarter of 2022. </w:t>
      </w:r>
      <w:r>
        <w:rPr>
          <w:rFonts w:ascii="Times New Roman;sans-serif" w:hAnsi="Times New Roman;sans-serif"/>
          <w:b w:val="false"/>
          <w:color w:val="000000"/>
          <w:sz w:val="20"/>
          <w:shd w:fill="FFFFFF" w:val="clear"/>
        </w:rPr>
        <w:t>See</w:t>
      </w:r>
      <w:r>
        <w:rPr>
          <w:color w:val="000000"/>
        </w:rPr>
        <w:t xml:space="preserve"> </w:t>
      </w:r>
      <w:r>
        <w:rPr>
          <w:rFonts w:ascii="Times New Roman;sans-serif" w:hAnsi="Times New Roman;sans-serif"/>
          <w:b w:val="false"/>
          <w:color w:val="000000"/>
          <w:sz w:val="20"/>
        </w:rPr>
        <w:t>Part II Item 8. Financial Statements and Supplementary Data,</w:t>
      </w:r>
      <w:r>
        <w:rPr>
          <w:color w:val="000000"/>
          <w:shd w:fill="FFFFFF" w:val="clear"/>
        </w:rPr>
        <w:t xml:space="preserve"> </w:t>
      </w:r>
      <w:r>
        <w:rPr>
          <w:rFonts w:ascii="Times New Roman;sans-serif" w:hAnsi="Times New Roman;sans-serif"/>
          <w:b w:val="false"/>
          <w:color w:val="000000"/>
          <w:sz w:val="20"/>
        </w:rPr>
        <w:t xml:space="preserve">Note 17, </w:t>
      </w:r>
      <w:r>
        <w:rPr>
          <w:rFonts w:ascii="Times New Roman;sans-serif" w:hAnsi="Times New Roman;sans-serif"/>
          <w:b w:val="false"/>
          <w:i/>
          <w:color w:val="000000"/>
          <w:sz w:val="20"/>
        </w:rPr>
        <w:t>Sale of Future Revenue</w:t>
      </w:r>
      <w:r>
        <w:rPr>
          <w:color w:val="000000"/>
          <w:shd w:fill="FFFFFF" w:val="clear"/>
        </w:rPr>
        <w:t xml:space="preserve"> </w:t>
      </w:r>
      <w:r>
        <w:rPr>
          <w:rFonts w:ascii="Times New Roman;sans-serif" w:hAnsi="Times New Roman;sans-serif"/>
          <w:b w:val="false"/>
          <w:color w:val="000000"/>
          <w:sz w:val="20"/>
          <w:shd w:fill="FFFFFF" w:val="clear"/>
        </w:rPr>
        <w:t>for details.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 was $3,437 and $16,321 for the years ended December 31, 2024 and 2023, respectively. The decrease by $12,884 is due to other income of $6,000 related to the Amendment 11 to the Indivior Commercial Exploitation Agreement, $8,500 related to the patent litigation settlement with BioDelivery Sciences International, Inc. and the receipt of the ERTC, which were recognized in the year ended December 31, 2023 and did not recur in 2024. During the year ended December 31, 2024, we recognized a gain of $1,500 on the termination of a license and supply agreement, which was partially offset by the adjustment of $1,200 to the remaining balance of the intangible asset due to the termination of the agreement. We also recognized higher interest income of $2,713 due to higher cash balances invested in interest-bearing and dividend-earning money market accounts.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we recognized a loss on extinguishment of debt of $1,382 for prepayment penalties resulting from 12.5% Notes principal payments made in the first quarter of 2023 and fees related to the repayment of the 12.5% Notes in the fourth quarter of 2023. There was no loss on extinguishment of debt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had $71,546 in cash and cash equivalents as of December 31, 2024. While our ability to execute our business objectives and achieve profitability over the longer term cannot be assured, our on-going business, existing cash and cash equivalents, expense management activities, potential asset sales or product outlicensing as well as access to the equity capital markets, including through our ATM facility, provide near term liquidity for us to fund our operating needs for at least the next twelve months as we continue to execute our business strategy.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2021, we entered into a supplemental indenture for the 12.5% Notes, pursuant to which the amortization schedule for the 12.5% Notes was amended to provide for the date of the first principal payment to be extended to March 30, 2023. The indenture did not change the maturity date of the 12.5% Notes or the interest payment obligation due under the 12.5% Notes. In connection with the indenture, we entered into a Consent Fee Letter with the holders of the 12.5%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06705"/>
                <wp:effectExtent l="0" t="0" r="0" b="0"/>
                <wp:wrapNone/>
                <wp:docPr id="74" name="Frame7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which we agreed to pay the holders of the 12.5% Notes an additional cash payment of $2,700 in the aggregate, payable in four quarterly payments beginning May 15, 2022. These payments were made by December 31,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redeemed $5,647 of our outstanding 12.5% Notes. We also made three scheduled principal payments totaling $11,463 prior to the refinancing of the 12.5% Notes on November 1, 2023. We also paid $353 in prepayment premium as result of the early retirement of debt which was reflected as a loss on extinguishment of debt in our Statements of Operations and Comprehensive Loss for the year ended December 31,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established our first ATM facility in September 2019, and since inception to December 31, 2024, we have sold 19,857,518 shares of Common Stock which has generated net cash proceeds of approximately $60,524, net of commissions and other transactions costs of $3,119. On April 3, 2024, we filed a new shelf registration statement on Form S-3 to register the offer and sale of up to $250,000 worth of shares of Common Stock ("Registration Statement No. 333-278498" or the "2024 Registration Statement"), that was declared effective by the SEC on April 23, 2024. Included as part of the 2024 Registration Statement was a $100,000 ATM facility pursuant to the Amended Equity Distribution Agreement with Piper Sandler &amp; Co.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we sold 4,557,220 shares which provided net proceeds of approximately $11,821 after deducting commissions and other transaction costs of $564. For the year ended December 31, 2023, we sold 4,958,341 shares under the ATM facility which provided net proceeds of approximately $8,962 after deducting commissions and other transaction costs of $502. In the period subsequent to December 31, 2024 through March 5, 2025, we sold 7,457,627 shares under our ATM facility, which generated net proceeds of approximately $21,400 net of commissions of $605000. The remaining authorized balance of the ATM facility was $78,000,000 as of March 5, 2025.</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For the years ended December 31, 2024 and 2023, we did not sell shares in connection with the Lincoln Park Purchase Agreement. We have no current intent to use the Lincoln Park facility and the Lincoln Park Purchase agreement will expire on April 12, 2025.</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2022, we entered into the Securities Purchase Agreements with certain purchasers. The Securities Purchase Agreements provided for the sale and issuance by us of an aggregate of: (i) 4,850,000 shares of Common Stock, (ii) pre-funded warrants to purchase up to 4,000,000 shares of Common Stock and (iii) Common Stock Warrants to purchase up to 8,850,000 shares of Common Stock. The pre-funded warrants were fully exercised in 2022. In June 2023, 3,689,452 Common Stock warrants issued pursuant to the Securities Purchase Agreements were exercised with proceeds of approximately $3,542.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2023, we entered into the Letter Agreement with the Exercising Holder of 5,000,000 of the remaining Common Stock Warrants. Pursuant to the Letter Agreement, the Exercising Holder and Aquestive agreed that the Exercising Holder would exercise all of its Existing Warrants at the then current exercise price of the Existing Warrants. The Exercising Holder subsequently exercised the Existing Warrants, with Aquestive receiving gross proceeds of $4,800. We also issued to the Exercising Holder New Warrants to purchase up to an aggregate of 2,750,000 shares of Common Stock. The New Warrants are exercisable after February 2, 2024, expire on February 2, 2029 and are exercisable only for cash, unless the shares of Common Stock underlying the New Warrants are not registered in accordance with the terms of the Letter Agreement, in which case the New Warrants may also be exercised by means of a "cashless exercise". The New Warrants have an exercise price of $2.60 per share.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we issued $45,000 aggregate principal amount of its 13.5% Notes due November 1, 2028. A portion of the net proceeds from that Offering was used to redeem all of the remaining outstanding 12.5% Notes and to pay expenses relating to that Offering, with the balance of the proceeds to be used for general corporate purposes. Interest on the 13.5% Notes accrues at a rate of 13.5% per annum and is payable quarterly in arrears on March 30, June 30, September 30 and December 30 of each year commencing on December 30, 2023. The 13.5% Notes are interest-only until June 30, 2026, whereupon on such date and each payment date thereafter we will also pay an installment of principal of the 13.5% Notes pursuant to a fixed amortization schedule, along with a portion of an Exit Fee determined as of the applicable date of prepayment, payment, acceleration, repurchase or redemption, as the case may be. We accounted for this transaction as an extinguishment of debt and recognized a debt extinguishment charge of $1,029 for the year ended December 31, 2023. The debt extinguishment charge is included in Loss on the extinguishment of debt in the Company’s Statements of Operations and Comprehensive Loss.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2024, we completed the underwritten public offering of 16,666,667 shares of our common stock at the public offering price of $4.50 per share. In addition, pursuant to the partial exercise of the underwriters' option, on April 22, 2024, we sold an additional 559,801 shares of Common Stock. Net proceeds from the underwritten public offering, including the exercise of underwriters' option were $72,868, after deducting underwriting discounts of $4,651. In addition to the underwriting discounts related to this offering, we incurred professional fees and other costs totaling $894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06705"/>
                <wp:effectExtent l="0" t="0" r="0" b="0"/>
                <wp:wrapNone/>
                <wp:docPr id="75" name="Frame7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Cash Flows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cash flows for the years ended December 31, 2024 and 2023:</w:t>
      </w:r>
    </w:p>
    <w:tbl>
      <w:tblPr>
        <w:tblW w:w="7146" w:type="dxa"/>
        <w:jc w:val="left"/>
        <w:tblInd w:w="0" w:type="dxa"/>
        <w:tblLayout w:type="fixed"/>
        <w:tblCellMar>
          <w:top w:w="28" w:type="dxa"/>
          <w:left w:w="28" w:type="dxa"/>
          <w:bottom w:w="28" w:type="dxa"/>
          <w:right w:w="28" w:type="dxa"/>
        </w:tblCellMar>
      </w:tblPr>
      <w:tblGrid>
        <w:gridCol w:w="1564"/>
        <w:gridCol w:w="1377"/>
        <w:gridCol w:w="1379"/>
        <w:gridCol w:w="109"/>
        <w:gridCol w:w="109"/>
        <w:gridCol w:w="109"/>
        <w:gridCol w:w="211"/>
        <w:gridCol w:w="796"/>
        <w:gridCol w:w="109"/>
        <w:gridCol w:w="109"/>
        <w:gridCol w:w="109"/>
        <w:gridCol w:w="109"/>
        <w:gridCol w:w="211"/>
        <w:gridCol w:w="691"/>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47,674 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Cash Used for Operating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for the year ended December 31, 2024 increased by $29,379 compared to the same period in 2023. The increase in cash used for operating activities was primarily related to the change in net loss of $36,267 and deferred revenue of $13,809, which was mostly attributed to the recognition of deferred revenues due to the termination of license and supply agreements during the year ended December 31, 2024, and increases in trade and other receivables of $4,167. Other changes were mainly due to higher amortization of debt issuance costs and discounts of $8,742 on the 13.5% Notes refinancing in November 2023 and an increase in share-based compensation of $4,410 as compared to the year ended December 31, 2023.</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Net Cash Used for Investing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for the year ended December 31, 2024 decreased by $836 compared to the same period in 2023. The use of cash was related to capital expenditures.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year ended December 31, 2024 increased by $79,618 compared to the same period in 2023. The increase was primarily related to the underwritten public offering which provided net proceeds of $71,974, and higher ATM proceeds by $2,871 due to higher volumes and Common Stock prices as compared to the prior year. These increases during the year ended December 31, 2024 were also due to the absence of 12.5% Notes principal payments and premium paid to retire debt and the absence of the financing costs associated with the issuance of the 13.5% Notes, partially offset by no proceeds received from the issuance of the 13.5% Notes and the issuance of the Royalty Rights Agreements as compared to the prior year, and lower proceeds by $8,142 from the exercise of warrants.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on-going business, existing cash and equivalents, expense management activities as well as access to the equity capital markets, including through our ATM facility, and potential asset sales or product outlicensing potentially provide near term funding opportunities for Aquestive, see “Liquidity and Capital Resources”. On November 1, 2023, we issued $45,000 in aggregate principal amount of the 13.5% Notes due November 1, 2028. A portion of the net proceeds from the Offering were used to redeem all of the outstanding 12.5% Notes and to pay expenses relating to the Offering, with the balance of the proceeds to be used for general corporate purposes.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completed the Underwritten Public Offering of 16,666,667 shares of our common stock at the public offering price of $4.50 per share. In addition, pursuant to the partial exercise of the underwriters' option, on April 22, 2024, we sold an additional 559,801 shares of Common Stock. Net proceeds from the Underwritten Public Offering, including the exercise of underwriters' option were $72,868 after deducting underwriting discounts of $4,651. In addition to the underwriting discounts related to this offering, we incurred professional fees and other costs totaling $894 as of December 31, 2024.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used and intend to continue to use the net proceeds received from these transactions, together with the Company’s existing cash and cash equivalents, primarily to advance the development and commercialization of our product pipeline, including Anaphylm™ (epinephrine) Sublingual Film for the treatment of severe life-threatening allergic reactions, including anaphylaxis, and the continued commercial expansion of Libervant® (diazepam) Buccal Film for the treatment of ARS patients aged between two and five years, and for working capital, capital expenditures and general corporate purposes.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and regulatory oversight and other factors. Key factors and assumptions inherent in our planned continued operations and anticipated growth include, without limitation, those related to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06705"/>
                <wp:effectExtent l="0" t="0" r="0" b="0"/>
                <wp:wrapNone/>
                <wp:docPr id="76" name="Frame7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ability of our customers to pay, in a timely manner, for presently contracted and future anticipated orders for our manufactured products, including effects of generics and other competitive pressures as currently envisioned;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ability of our customers to pay, in a timely manner, for presently contracted and future anticipated orders for provided co-development and feasibility services, as well as regulatory support services for recently licensed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access to debt or equity markets if, and at the time, needed for any necessary future funding, including our ability to access funding through our ATM facility, should we choose to access this facility;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continuing review and appropriate adjustment of our cost structure consistent with our anticipated revenues and funding;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continued growth and market penetration of Sympazan, including anticipated patient and physician acceptance and our licensee’s ability to obtain adequate reimbursement and payment support from government agencies and other private medical insurers;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effective commercialization within anticipated cost levels and expected ramp-up timeframes of our product Libervant for pediatric patients between two and five years of age;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infrastructure and administrative costs at expected levels to support operations as an FDA and highly regulated public company;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manageable level of costs for ongoing efforts to protect our intellectual property rights and litigation matters in which we are involved;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compliance with all covenants under our 13.5% Notes, including our ability to comply with our debt service obligations as required thereunder;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absence of significant unforeseen cash requirements.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manage business costs to appropriately reflect the anticipated general decline in Suboxone revenue, and other external resources or factors affecting our business including, if available, future equity financing, other future access to the capital markets or other potential available sources of liquidity. In doing so, we plan to continue to focus on the core drivers of value for our stockholders, including, more importantly, continued investments in our ongoing product development activities in support of Anaphylm and AQST-108. Until profitability is achieved, if at all, additional capital and/or other financing or funding will be required, which could be material, to further advance the commercialization of Libervant for pediatric patients between two and five years of age and development and commercialization of Anaphylm and AQST-108, if approved by the FDA, and to meet our other cash requirements, including debt service, specifically our 13.5% Notes. We plan to conservatively manage our launch spending as to both timing and level relating to Libervant in light of the approval of Libervant by the FDA for patients between two and five years of age. Even as such, we expect to incur losses and negative cash flows for the foreseeable future and, therefore, we expect to be dependent upon external financing and funding to achieve our operating plan.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sufficiency of our short-term and longer-term liquidity is directly impacted by our level of operating revenues and our ability to achieve our operating plan for revenues, regulatory approval in the time period planned for our product candidates and our ability to monetize other royalty streams or other licensed rights within planned timeframes, and there can be no assurance that we will be successful in any monetization transaction.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interest payments have principal repayments related to our 13.5% Notes starting in June 2026 through the debt maturity date and royalty obligation payments projected to be made from the fourth quarter of 2024 to 2034, which are further discussed in Part II Item 8. Financial Statements and Supplementary Data, Note 15,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product candidates, our existing level of debt which is secured by substantially all of our assets under the Indenture, and general financial market conditions, and there can be no assurance that we will continue to be successful in raising capital or that any such needed financing will be available, available on favorable or acceptable terms, if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06705"/>
                <wp:effectExtent l="0" t="0" r="0" b="0"/>
                <wp:wrapNone/>
                <wp:docPr id="77" name="Frame7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launch activities and research and development programs and clinical and other product development activities, and otherwise significantly reducing our other spending and adjusting our operating plan, and we would need to seek to take other steps intended to improve our liquidity. We also may seek outlicensing opportunities for our proprietary products and product candidate programs that we currently plan to self-commercialize, including for Libervant and Anaphylm, or explore other potential liquidity options or strategic opportunities. Such strategic opportunities could include asset sales, outlicensing or other monetization opportunities of our proprietary products and product candidates, including Libervant and Anaphylm, although we cannot assure that any of these actions or opportunities would be available or available on acceptable terms. While an outlicensing of our proprietary products and product candidates, if approved by the FDA, could limit our exposure to the costs of commercialization of the product and provide a potential source of royalty and milestone revenues, the benefit from the potential of additional future value that could result from our independent commercialization of these products and product candidates, assuming a successful launch of our proprietary products and product candidates, if approved by the FDA, would likely be limited. In addition, in the event of any such asset sales or outlicensing transactions, the future growth of the Company would be dependent on continued successful development or our early stage product candidates and/or asset acquisitions or other strategic transactions for the Company. There is no assurance that any such outlicensing or other strategic opportunities will be available or available on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We have entered into various contractual agreements under which we have long term obligations. For more information regarding our commitments, see Part II, Item 8. Financial Statements and Supplementary Data, Note 23, </w:t>
      </w:r>
      <w:r>
        <w:rPr>
          <w:rFonts w:ascii="Times New Roman;sans-serif" w:hAnsi="Times New Roman;sans-serif"/>
          <w:b w:val="false"/>
          <w:i/>
          <w:color w:val="000000"/>
          <w:sz w:val="20"/>
        </w:rPr>
        <w:t>Contingencies.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For more information regarding our future lease payments, see Part II, Item 8. Financial Statements and Supplementary Data, Note 11, </w:t>
      </w:r>
      <w:r>
        <w:rPr>
          <w:rFonts w:ascii="Times New Roman;sans-serif" w:hAnsi="Times New Roman;sans-serif"/>
          <w:b w:val="false"/>
          <w:i/>
          <w:color w:val="000000"/>
          <w:sz w:val="20"/>
        </w:rPr>
        <w:t>Right-of-Use Assets and Lease Obligations</w:t>
      </w:r>
      <w:r>
        <w:rPr>
          <w:color w:val="000000"/>
        </w:rPr>
        <w:t xml:space="preserve"> </w:t>
      </w:r>
      <w:r>
        <w:rPr>
          <w:rFonts w:ascii="Times New Roman;sans-serif" w:hAnsi="Times New Roman;sans-serif"/>
          <w:b w:val="false"/>
          <w:color w:val="000000"/>
          <w:sz w:val="20"/>
        </w:rPr>
        <w:t>for our minimum lease payments schedule. The expected timing of our leases may be different in future years, depending on our decision to extend lease terms and/or enter into leases in preceding years.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For more information on our payments related to the 13.5% Notes, see Part II, Item 8. Financial Statements and Supplementary Data, Note 15,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our Management’s Discussion and Analysis of our financial condition and results of operations on our Financial Statements, which have been prepared in accordance with generally accepted accounting principles, or GAAP, in the U.S. The preparation of the Financial Statements requires us to make estimates and judgments that affect the reported amounts of assets and liabilities at the date of the financial statements as well as the revenues and expenses during the reporting periods. On an ongoing basis, we evaluate our estimates and judgments. We base our estimates on historical experience when available and on various other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While significant accounting policies are more fully described in Part II Item 8. Financial Statements and Supplementary Data, Note 3,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included in this filing, we believe that the following accounting policies are those that are most critical to the significant judgements and estimates used in the preparation of our Financial Statements.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 xml:space="preserve">Proprietary product revenue, net - </w:t>
      </w:r>
      <w:r>
        <w:rPr>
          <w:rFonts w:ascii="Times New Roman;sans-serif" w:hAnsi="Times New Roman;sans-serif"/>
          <w:b w:val="false"/>
          <w:color w:val="000000"/>
          <w:sz w:val="20"/>
        </w:rPr>
        <w:t>this net revenue is recognized when product is shipped and title passes to the customer, typically at time of delivery. At the time of sale, estimates for various revenue allowances are recorded based on historical trends and judgmental estimates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For sales of Libervant for patients between two to five years of age,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License and Royalty Revenue</w:t>
      </w:r>
      <w:r>
        <w:rPr>
          <w:color w:val="000000"/>
        </w:rPr>
        <w:t xml:space="preserve"> – </w:t>
      </w:r>
      <w:r>
        <w:rPr>
          <w:rFonts w:ascii="Times New Roman;sans-serif" w:hAnsi="Times New Roman;sans-serif"/>
          <w:b w:val="false"/>
          <w:color w:val="000000"/>
          <w:sz w:val="20"/>
        </w:rPr>
        <w:t xml:space="preserve">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Aquestive and the license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06705"/>
                <wp:effectExtent l="0" t="0" r="0" b="0"/>
                <wp:wrapNone/>
                <wp:docPr id="78" name="Frame7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thereby viewed as a distinct or functional license, Aquestive then determines whether the customer has acquired a right to use the license or a right to access the license. For functional licenses that do not require further development or other ongoing activities by Aquestive,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Aquestive, revenues are generally recorded over the term of the license agreement. Such other obligations provided by Aquestive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revenue is estimated and recognized when sales under supply agreements with commercial licensees are recorded, absent any contractual constraints or collectability uncertainties. Royalties based on sales of licensed products have been recorded in this manner.</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Revenue recognition arising from milestone payments is dependent upon the facts and circumstances surrounding the milestone payments. Milestone payments based on a non-sales metric such as a development-based milestone (</w:t>
      </w:r>
      <w:r>
        <w:rPr>
          <w:rFonts w:ascii="Times New Roman;sans-serif" w:hAnsi="Times New Roman;sans-serif"/>
          <w:b w:val="false"/>
          <w:i/>
          <w:color w:val="000000"/>
          <w:sz w:val="20"/>
        </w:rPr>
        <w:t>e.g.</w:t>
      </w:r>
      <w:r>
        <w:rPr>
          <w:rFonts w:ascii="Times New Roman;sans-serif" w:hAnsi="Times New Roman;sans-serif"/>
          <w:b w:val="false"/>
          <w:color w:val="000000"/>
          <w:sz w:val="20"/>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are incurred or the performance obligation to which the sales relate to has been satisfied.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Royalty Obligations and Interest Expense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connection with the issuance of the 13.5% Notes, we entered into a Royalty Rights Agreement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 Royalty Rights Agreements are classified as debt, and the value of the $45,000 13.5% Notes has been allocated between debt and the royalty obligations based on their relative fair market values. The excess of future estimated royalty payments of $56,926 over the $13,856 of allocated fair value is recognized as a discount related to the Royalty Right Agreements and is amortized over the life of the Royalty Rights Agreements. Such amortization is reflected as interest expense related to royalty obligations in the Statements of Operations and Comprehensive Loss. The 13.5% Notes are discussed in Part II Item 8. Financial Statements and Supplementary Data, Note 15, </w:t>
      </w:r>
      <w:r>
        <w:rPr>
          <w:rFonts w:ascii="Times New Roman;sans-serif" w:hAnsi="Times New Roman;sans-serif"/>
          <w:b w:val="false"/>
          <w:i/>
          <w:color w:val="000000"/>
          <w:sz w:val="20"/>
        </w:rPr>
        <w:t>Long-Term Debt.</w:t>
      </w:r>
      <w:r>
        <w:rPr>
          <w:color w:val="000000"/>
        </w:rPr>
        <w:t xml:space="preserve">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Liability and interest expense related to sale of future revenue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We treated the sale of future revenue related to KYNMOBI as debt financing in accordance with ASC 470 Debt, amortized under the effective interest rate method over the estimated life of the related expected royalty stream. The liability related to the sale of future revenue has been initially recorded at its proceeds, net of deferred cost. The liability related to the sale of future revenue and the related interest expense are based on our current estimates of future royalties expected to be paid over the life of the arrangement. We periodically assess the expected royalty payments using a combination of internal projections and forecasts from external resources. To the extent our future estimates of royalty payments are greater or less than previous estimates or the timing of such payments is materially different than its previous estimates, we will prospectively adjust the related interest expense. Amortization of debt is reflected as interest expense related to the sale of future revenue in the Statements of Operations and Comprehensive Loss. For further discussion of the sale of the future revenue, see Part II Item 8. Financial Statements and Supplementary Data, Note 17, </w:t>
      </w:r>
      <w:r>
        <w:rPr>
          <w:rFonts w:ascii="Times New Roman;sans-serif" w:hAnsi="Times New Roman;sans-serif"/>
          <w:b w:val="false"/>
          <w:i/>
          <w:color w:val="000000"/>
          <w:sz w:val="20"/>
        </w:rPr>
        <w:t>Sale of Future Revenue</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Refer to Part II Item 8. Financial Statements and Supplementary Data, Note 3,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 the accompanying Notes to our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06705"/>
                <wp:effectExtent l="0" t="0" r="0" b="0"/>
                <wp:wrapNone/>
                <wp:docPr id="79" name="Frame7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Item 7A is not applicable to us as a smaller reporting company and has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together with the report of our independent registered public accounting firm, appear in this Annual Report on Form 10-K beginning 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    Change in and Disagreements with Accountants on Accounting and Financial Disclosure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our Disclosure Controls and Procedures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our required disclosures.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2024, our disclosure controls and procedures were effective at the reasonable assurance level.</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controls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Aquestive Therapeutics, Inc.;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the prevention or timely detection of unauthorized acquisition, use or disposition of our assets that could have a material effect on the financial statements.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inherent limitations, internal control over financial reporting may not prevent misstatements. Also, projections of any evaluation of effectiveness to future periods are subject to the risk that controls may become inadequate because of changes in conditions, or that the degree of compliance with the policies and procedures may deteriorate.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Our management assessed the effectiveness of our internal control over financial reporting as of December 31, 2024. In making this assessment, management used the criteria set forth in the </w:t>
      </w:r>
      <w:r>
        <w:rPr>
          <w:rFonts w:ascii="Times New Roman;sans-serif" w:hAnsi="Times New Roman;sans-serif"/>
          <w:b w:val="false"/>
          <w:i/>
          <w:color w:val="000000"/>
          <w:sz w:val="20"/>
        </w:rPr>
        <w:t>Internal Control-Integrated Framework (2013</w:t>
      </w:r>
      <w:r>
        <w:rPr>
          <w:rFonts w:ascii="Times New Roman;sans-serif" w:hAnsi="Times New Roman;sans-serif"/>
          <w:b w:val="false"/>
          <w:color w:val="000000"/>
          <w:sz w:val="20"/>
        </w:rPr>
        <w:t>) issued by the Committee of Sponsoring Organization of the Treadway Commission (“COSO”). Based upon its assessment and those criteria, our management has concluded that our internal control over financial reporting was effective as of December 31, 2024.</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does not include an attestation report of our registered independent public accounting firm regarding internal control over financial reporting. Management’s report was not subject to attestation by our registered independent public accounting firm pursuant to rules of the Securities and Exchange Commission that permit us to provide only management’s report in this annual report.</w:t>
      </w:r>
    </w:p>
    <w:p>
      <w:pPr>
        <w:pStyle w:val="TextBody"/>
        <w:bidi w:val="0"/>
        <w:spacing w:lineRule="auto" w:line="288" w:before="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identified in connection with the evaluation of such internal control that occurred during our last fiscal quarter, that have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06705"/>
                <wp:effectExtent l="0" t="0" r="0" b="0"/>
                <wp:wrapNone/>
                <wp:docPr id="80" name="Frame7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xbxContent>
                </v:textbox>
                <w10:wrap type="none"/>
              </v:rect>
            </w:pict>
          </mc:Fallback>
        </mc:AlternateContent>
      </w:r>
    </w:p>
    <w:p>
      <w:pPr>
        <w:pStyle w:val="TextBody"/>
        <w:bidi w:val="0"/>
        <w:spacing w:before="0" w:after="0"/>
        <w:jc w:val="left"/>
        <w:rPr/>
      </w:pPr>
      <w:r>
        <w:rPr/>
      </w:r>
    </w:p>
    <w:p>
      <w:pPr>
        <w:pStyle w:val="TextBody"/>
        <w:bidi w:val="0"/>
        <w:spacing w:before="0" w:after="120"/>
        <w:ind w:left="0" w:right="0" w:hanging="900"/>
        <w:jc w:val="left"/>
        <w:rPr/>
      </w:pPr>
      <w:r>
        <w:rPr/>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Officer Cassie Jung adopted a written sales plan intended to satisfy the affirmative defense conditions of Rule 10b5-1(c) of the Exchange Act (the "Jung Plan") on December 10, 2024. The Jung Plan commences on March 11, 2025 and ends on December 31, 2025. The maximum number of shares to be sold under the Jung Plan is 108,656 shares; the actual number of shares sold will be dependent on the satisfaction of certain conditions set forth in the Jung Plan.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Chief Medical Officer Carl Kraus adopted a written sales plan intended to satisfy the affirmative defense conditions of Rule 10b5-1(c) of the Exchange Act (the "Kraus Plan") on December 12, 2024. The Kraus Plan commences on March 17, 2025 and ends on February 27, 2026. The maximum number of shares to be sold under the Kraus Plan is 75,000. The actual number of shares sold will be dependent on the satisfaction of certain conditions set forth in the Kraus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06705"/>
                <wp:effectExtent l="0" t="0" r="0" b="0"/>
                <wp:wrapNone/>
                <wp:docPr id="81" name="Frame7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to be filed with the SEC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to be filed with the SEC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12.    Security Ownership of Certain Beneficial Owners and Management and Related Stockholder Matters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to be filed with the SEC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Party Transactions and Director Independence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to be filed with the SEC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to be filed with the SEC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06705"/>
                <wp:effectExtent l="0" t="0" r="0" b="0"/>
                <wp:wrapNone/>
                <wp:docPr id="82" name="Frame8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(a)(1) Financial Statements.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response to this portion of Item 15 is set forth under Item 8 hereof.</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have been omitted because they are not applicable, not required or the required information is given in the Financial Statements or Notes thereto.</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(a)(3) Exhibits.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exhibits below are filed as part of this Form 10-K other than Exhibit 32.1 and Exhibit 32.2, which shall be deemed furnished.</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53"/>
        <w:gridCol w:w="2642"/>
        <w:gridCol w:w="377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Aquestive Therapeutics, Inc., dated as of July 27, 2018 (filed as Exhibit 3.1 to the Current Report on Form 8-K of the Company, as filed on July 27, 2018, and incorporated by reference herein).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Aquestive Therapeutics, Inc. (filed as Exhibit 3.1 to the Current Report on Form 8-K of the Company, as filed on October 16, 2024,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Common Stock Certificate of Aquestive Therapeutics, Inc. (filed as Exhibit 4.1 to the Registration Statement on Form S-1 of the Company (File No. 333-225924), as filed on June 27, 2018,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Indenture dated July 15, 2019, among Aquestive Therapeutics, Inc., as Issuer, any Guarantor that becomes party thereto and U.S. Bank National Association, as Trustee and Collateral Agent (filed as Exhibit 4.1 to the Current Report on Form 8-K filed on July 16, 2019,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3, 2020, among Aquestive Therapeutics, Inc., as Issuer, any Guarantor that becomes party thereto and U.S. Bank National Association, as Trustee and Collateral Agent (filed as Exhibit 4.3 to the Annual Report on Form 10-K of the Company, as filed on March 9, 2021,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4.4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November 20, 2020, among Aquestive Therapeutics, Inc., as Issuer, any Guarantor that becomes party thereto and U.S. Bank National Association, as Trustee and Collateral Agent (filed as Exhibit 4.4 to the Annual Report on Form 10-K of the Company, as filed on March 9, 2021,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August 6, 2021, among Aquestive Therapeutics, Inc., as Issuer, any Guarantor that becomes party thereto and U.S. Bank National Association, as Trustee and Collateral Agent (filed as Exhibit 4.1 to the Current Report on Form 8-K of the Company, as filed on August 9, 2021,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4.6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October 7, 2021, among Aquestive Therapeutics, Inc., as Issuer, any Guarantor that becomes party thereto and U.S. Bank National Association, as Trustee and Collateral Agent (filed as Exhibit 4.1 to the Current Report on Form 8-K of the Company, as filed on August 8, 2021,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2019 Warrant (filed as Exhibit 4.2 to the Current Report on Form 8-K of the Company, filed on July 16, 2019, and incorporated by reference herein).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4.8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2020 Warrant (filed as Exhibit 4.6 to the Annual Report of Form 10-K of the Company, as filed on March 9, 2021,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4.9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2022 Pre-Funded Warrant (filed as Exhibit 4.1 to the Current Report on Form 8-K of the Company, as filed on June 8, 2022, and incorporated by reference herein). </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4.10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2022 Common Stock Warrant (filed as Exhibit 4.2 to the Current Report on Form 8-K of the Company, as filed on June 8, 2022, and incorporated by reference herein).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06705"/>
                <wp:effectExtent l="0" t="0" r="0" b="0"/>
                <wp:wrapNone/>
                <wp:docPr id="83" name="Frame8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2"/>
        <w:gridCol w:w="195"/>
        <w:gridCol w:w="185"/>
        <w:gridCol w:w="109"/>
        <w:gridCol w:w="109"/>
        <w:gridCol w:w="109"/>
        <w:gridCol w:w="2908"/>
        <w:gridCol w:w="2632"/>
        <w:gridCol w:w="3736"/>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4.11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as of June 24, 2018, by and between Aquestive Partners, LLC and certain of the holders of its membership interests (filed as Exhibit 4.3 to the Registration Statement on Form S-1 of the Company (File No. 333-225924), as filed on June 27, 2018,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4.12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Registered under Section 12 of the Exchange Act (filed as Exhibit 4.7 to the Annual Report on Form 10-K of the Company, as filed on March 11, 2020,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4.13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dated as of May 13, 2022, among Aquestive Therapeutics, Inc., as Issuer, any Guarantor that becomes party thereto and U.S. Bank Trust Company, National Association, as Trustee and Collateral Agent (filed as Exhibit 4.1 to the Current Report on Form 8-K of the Company, as filed on May 17, 20222,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4.14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Indenture Dated as of November 1, 2023, among Aquestive Therapeutics, Inc., as Issuer, any Guarantor that becomes party thereto, and U.S. Bank Trust Company, National Association, as Trustee and Collateral Agent (filed as Exhibit 4.1 to the Current Report on Form 8-K of the Company, as filed on November 2, 2023,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by and between Aquestive Therapeutics, Inc and its directors and officers (filed as Exhibit 10.1 to the Registration Statement on Form S-1 of the Company (File No. 333-225924), as filed on June 27, 2018,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Purchase Agreement in connection with the 2019 issuance of 12.5% Senior Secured Notes (filed as Exhibit 10.1 to the Current Report on Form 8-K filed on July 16, 2019,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2020 Purchase Agreement in connection with the 2020 issuance of 12.5% Senior Secured Notes (filed as Exhibit 10.3 to the Annual Report of Form 10-K of the Company, as filed on March 9, 2021,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Collateral Agreement in connection with issuance of 12.5% Senior Secured Notes, dated as of July 15, 2019, among Aquestive Therapeutics, Inc., as Issuer, the Other Grantors from time to time party thereto, U.S. Bank National Association, as Trustee, and U.S. Bank National Association, as Collateral Agent (filed as Exhibit 10.2 to the Current Report on Form 8-K of the Company, as filed on July 16, 2019,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10.5</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dated as of July 15, 2022, by and between Aquestive Therapeutics, Inc. and Daniel Barber (filed as Exhibit 10.1 to the Current Report on Form 10-Q of the Company, as filed on August 2, 2022,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dated as of July 9, 2018, by and between Aquestive Therapeutics, Inc. and A. Mark Schobel (filed as Exhibit 10.8 to the Pre-Effective Amendment No. 1, as filed on July 16, 2018, to the Registration Statement on Form S-1 of the Company (File No. 333-225924),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Exploitation Agreement, by and between MonoSol Rx, LLC (now Aquestive Therapeutics, Inc.) and Reckitt Benckiser Pharmaceuticals Inc., dated as of August 15, 2008 (as amended on August 19, 2009, November 13, 2009, March 30, 2010, October 13, 2010, December 15, 2010, December 9, 2011, December 1, 2012, October 14, 2013 (by Addendum A), July 30, 2014 (by Addendum B), and January 12, 2017) (filed as Exhibit 10.9 to the Registration Statement on Form S-1 of the Company (File No. 333-225924), as filed on June 27, 2018,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10.8†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 by and between MonoSol Rx, LLC (now Aquestive Therapeutics, Inc.) and Indivior UK Limited, dated as of September 24, 2017 (filed as Exhibit 10.10 to the Registration Statement on Form S-1 of the Company (File No. 333-225924), as filed on June 27, 2018,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10.9</w:t>
              </w:r>
            </w:hyperlink>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11 to Commercial Exploitation Agreement, dated as of August 15, 2008 (filed herewith).</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10.10†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 to Terminate CLA, by and between MonoSol Rx, LLC (now Aquestive Therapeutics, Inc.) and KemPharm, Inc., dated as of March 20, 2012 (filed as Exhibit 10.11 to the Registration Statement on Form S-1 of the Company (File No. 333-225924), as filed on June 27, 2018,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License Agreement, by and between MonoSol Rx, LLC (now Aquestive Therapeutics, Inc.) and Cynapsus Therapeutics Inc., dated as of April 1, 2016 (filed as Exhibit 10.12 to the Registration Statement on Form S-1 of the Company (File No. 333-225924), as filed on June 27, 2018, and incorporated by reference herein).</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10.12†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Amendment to License Agreement, by and between Aquestive Therapeutics, Inc. and Sunovion Pharmaceuticals, Inc., dated as of March 16, 2020 (filed as Exhibit 10.14 to the Annual Report of Form 10-K of the Company, as filed on March 9, 2021,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Amendment to License Agreement, by and between Aquestive Therapeutics, Inc. and Sunovion Pharmaceuticals, Inc., dated as of October 23, 2020 (filed as Exhibit 10.15 to the Annual Report of Form 10-K of the Company, as filed on March 9, 2021, and incorporated by reference herein).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06705"/>
                <wp:effectExtent l="0" t="0" r="0" b="0"/>
                <wp:wrapNone/>
                <wp:docPr id="84" name="Frame8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2"/>
        <w:gridCol w:w="195"/>
        <w:gridCol w:w="197"/>
        <w:gridCol w:w="109"/>
        <w:gridCol w:w="109"/>
        <w:gridCol w:w="109"/>
        <w:gridCol w:w="2855"/>
        <w:gridCol w:w="2654"/>
        <w:gridCol w:w="3755"/>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Industrial Lease Agreement, by and between Ashland Northwest Partners, L.P. and MonoSol Rx, LLC (now Aquestive Therapeutics, Inc.), dated as of October 24, 2006 (as amended on October 24, 2011 and February 8, 2018) (filed as Exhibit 10.13 to the Registration Statement on Form S-1 of the Company (File No. 333-225924), as filed on June 27, 2018,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 2018 Equity Incentive Plan, as amended (filed as Exhibit 4.1 to the Registration Statement on Form S-8 of the Company (File No. 333-273857), as filed on August 9, 2023 and incorporated by reference herein).</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10.16+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 Employee Stock Purchase Plan as Amended (filed as Exhibit 10.18 to the Annual Report of Form 10-K of the Company, as filed on March 9, 2021,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(filed as Exhibit 10.16 to the Registration Statement on Form S-1 of the Company (File No. 333-225924), as filed on June 27, 2018,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10.18+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Aquestive Therapeutics, Inc. 2018 Equity Incentive Plan (filed as Exhibit 10.17 to the Pre-Effective Amendment No. 1, as filed on July 16, 2018, to the Registration Statement on Form S-1 of the Company (File No. 333-225924)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Agreement under the Aquestive Therapeutics, Inc. 2018 Equity Incentive Plan (filed as Exhibit 10.18 to the Pre-Effective Amendment No. 1, as filed on July 16, 2018, to the Registration Statement on Form S-1 of the Company (File No. 333-225924)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10.20+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dated as of September 10, 2018, by and between Aquestive Therapeutics, Inc. and Lori J. Braender (filed as Exhibit 10.4 to the Quarterly Report on Form 10-Q of the Company, as filed on November 6, 2018,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10.21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 and Sale Agreement, dated as of November 3, 2020, by and between Aquestive Therapeutics, Inc. and MAM Pangolin Royalty, LLC (filed as Exhibit 10.23 to the Annual Report on Form 10-K of the Company, as filed on March 9, 2021, and incorporated by reference herein).</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10.22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No.1 to Purchase Agreement, dated as of August 6, 2021, by and between Aquestive Therapeutics, Inc. and the Purchasers signatory thereto (as filed as Exhibit 10.22 to the Annual Report on Form 10-K of the Company, as filed on March 31, 2021, and incorporated by reference herein).</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2 to Purchase Agreement, dated as of May 13, 2022, by and between Aquestive Therapeutics, Inc. and the Purchasers signatory thereto (as filed as Exhibit 10.1 to the Current Report on Form 8-K of the Company, as filed on May 17,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Fee Letter, dated October 7, 2021, among Aquestive Therapeutics, Inc. and the Noteholder parties thereto (filed as Exhibit 10.1 to the Current Report on Form 8-K filed on October 8, 2021, and incorporated by reference herein).</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10.25</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First Amendment to Executive Employment Agreement, dated as of June 30, 2021, by and between Aquestive Therapeutics, Inc. and Alexander Mark Schobel (as filed as Exhibit 10.25 to the Annual Report on Form 10-K of the Company, as filed on March 8,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10.26</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First Amendment to Executive Employment Agreement, dated as of June 30, 2021, by and between Aquestive Therapeutics, Inc. and Keith J. Kendall (as filed as Exhibit 10.26 to the Annual Report on Form 10-K of the Company, as filed on March 8,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10.27†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and Supply Agreement, dated as of September 26, 2022, by and between Aquestive Therapeutics, Inc. and Atnahs Pharma UK Limited (filed as Exhibit 10.1 to the Quarterly Report on Form 10-Q of the Company, as filed on November 1,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10.28</w:t>
              </w:r>
            </w:hyperlink>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Development and Supply Agreement, dated as of March 2022, by and between Aquestive Therapeutics, Inc. and Haisco Pharmaceutical Group Co., Ltd. (filed as Exhibit 10.1 to the Quarterly Report on Form 10-Q of the Company, as filed on May 4, 2022, and incorporated by reference herein). </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10.29</w:t>
              </w:r>
            </w:hyperlink>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Agreement, dated as of October 26, 2022, by and between Aquestive Therapeutics, Inc. and Otter Pharmaceuticals, LLC (filed herewith) (as filed as Exhibit 10.29 to the Annual Report on Form 10-K of the Company, as filed on March 31, 2023,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10.30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Separation Agreement, dated as of May 17, 2022, by and between Aquestive Therapeutics, Inc. and Keith J. Kendall (filed as Exhibit 10.1 to the Current Report on Form 8-K of the Company, as filed on May 17,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10.31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Securities Purchase Agreement, dated as of June 6, 2022, by and between Aquestive Therapeutics, Inc. and the purchasers (filed as Exhibit 10.1 to the Current Report on Form 8-K of the Company, as filed on June 8,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10.32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 Agreement, dated as of April 12, 2022, by and between the Company and Lincoln Park (filed as Exhibit 10.1 to the Current Report on Form 8-K of the Company, as filed on April 13, 2022, and incorporated by reference herein).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06705"/>
                <wp:effectExtent l="0" t="0" r="0" b="0"/>
                <wp:wrapNone/>
                <wp:docPr id="85" name="Frame8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
        <w:gridCol w:w="215"/>
        <w:gridCol w:w="217"/>
        <w:gridCol w:w="109"/>
        <w:gridCol w:w="109"/>
        <w:gridCol w:w="109"/>
        <w:gridCol w:w="2821"/>
        <w:gridCol w:w="2638"/>
        <w:gridCol w:w="3743"/>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10.33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Registration Rights Agreement, dated as of April 12, 2022, by and between the Company and Lincoln Park (filed as Exhibit 10.2 to the Current Report on Form 8-K of the Company, as filed on April 13, 2022, and incorporated by reference herein). </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10.34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Distribution Agreement, dated September 11, 2019, by and between Aquestive Therapeutics, Inc. and Piper Sandler &amp; Co. (filed as Exhibit 1.2 to the Registration Statement on Form S-3 (333-233716) of the Company, as filed on September 11, 2019, and incorporated by reference herein) </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10.35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1 to the Equity Distribution Agreement, dated March 26, 2021, by and between Aquestive Therapeutics, Inc. and Piper Sandler &amp; Co. (filed as Exhibit 10.1 to the Current Report on Form 8-K of the Company, as filed on March 26, 2021, and incorporated by reference herein) </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10.36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Inducement Offer to Exercise Common Stock Purchase Warrants Letter Agreement dated August 1, 2023 (filed as Exhibit 10.1 to the Current Report on Form 8-K of the Company, as filed on August 2, 2023, and incorporated by reference herein). </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10.37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Purchase Agreement for the 13.5% Notes (filed as Exhibit 10.1 to the Current Report on Form 8-K of the Company, as filed on November 2, 2023, and incorporated by reference herein).</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10.38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Collateral Agreement dated as of November 1, 2023 among Aquestive Therapeutics, Inc., as Issuer, the other Grantors from time to time party thereto, U.S. Bank Trust Company, National Association, as Trustee, and U.S. Bank Trust Company, National Association, as Collateral Agent (filed as Exhibit 10.2 to the Current Report on Form 8-K of the Company, as filed on November 2, 2023, and incorporated by reference herein).</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10.39†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Royalty Right Agreement (filed as Exhibit 10.3 to the Current Report on Form 8-K of the Company, as filed on November 2, 2023, and incorporated by reference herein).</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10.40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Amendment to License and Supply Agreement between Aquestive and Atnahs Pharma UK Limited entered into March 27, 2023 (filed as Exhibit 10.40 to the Annual Report on Form 10-K of the Company, as filed on March 5, 2024, and incorporated by reference herein).</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sidertradingpolicyfeb2.htm">
              <w:r>
                <w:rPr>
                  <w:rStyle w:val="InternetLink"/>
                  <w:rFonts w:ascii="Times New Roman;sans-serif" w:hAnsi="Times New Roman;sans-serif"/>
                  <w:b w:val="false"/>
                  <w:color w:val="0000FF"/>
                  <w:sz w:val="20"/>
                  <w:u w:val="single"/>
                </w:rPr>
                <w:t>19.1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Insider Trading Policy.</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231kpmgconsent123124.htm">
              <w:r>
                <w:rPr>
                  <w:rStyle w:val="InternetLink"/>
                  <w:rFonts w:ascii="Times New Roman;sans-serif" w:hAnsi="Times New Roman;sans-serif"/>
                  <w:b w:val="false"/>
                  <w:color w:val="0000FF"/>
                  <w:sz w:val="20"/>
                  <w:u w:val="single"/>
                </w:rPr>
                <w:t>23.1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of KPMG LLP, Independent Registered Public Accounting Firm (filed herewith).</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qst-12312024xexhibit311.htm">
              <w:r>
                <w:rPr>
                  <w:rStyle w:val="InternetLink"/>
                  <w:rFonts w:ascii="Times New Roman;sans-serif" w:hAnsi="Times New Roman;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Rules 13a-14(a) and 15d-14(a) under the Securities Exchange Act of 1934, as adopted pursuant to Section 302 of the Sarbanes-Oxley Act of 2002 (filed herewith).</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qst-12312024xexhibit312.htm">
              <w:r>
                <w:rPr>
                  <w:rStyle w:val="InternetLink"/>
                  <w:rFonts w:ascii="Times New Roman;sans-serif" w:hAnsi="Times New Roman;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Rules 13a-14(a) and 15d-14(a) under the Securities Exchange Act of 1934, as adopted pursuant to Section 302 of the Sarbanes-Oxley Act of 2002 (filed herewith).</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qst-12312024xexhibit321.htm">
              <w:r>
                <w:rPr>
                  <w:rStyle w:val="InternetLink"/>
                  <w:rFonts w:ascii="Times New Roman;sans-serif" w:hAnsi="Times New Roman;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18 U.S.C. Section 1350, as adopted pursuant to Section 906 of the Sarbanes-Oxley Act of 2002 (furnished herewith).</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qst-12312024xexhibit322.htm">
              <w:r>
                <w:rPr>
                  <w:rStyle w:val="InternetLink"/>
                  <w:rFonts w:ascii="Times New Roman;sans-serif" w:hAnsi="Times New Roman;sans-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to Section 906 of the Sarbanes-Oxley Act of 2002 (furnished herewith).</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97*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Incentive Compensation Recovery Policy (filed as Exhibit 97 to the Annual Report on Form 10-K of the Company, as filed on March 5, 2024 and incorporated by reference herein).</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0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Portions of this exhibit (indicated by asterisks) have been omitted pursuant to a request for confidential treatment that has been granted by the Securities and Exchange Commission.</w:t>
      </w:r>
    </w:p>
    <w:p>
      <w:pPr>
        <w:pStyle w:val="TextBody"/>
        <w:bidi w:val="0"/>
        <w:spacing w:lineRule="auto" w:line="288" w:before="0" w:after="12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*Furnished herewith and not deemed to be “filed” for purposes of Section 18 of the Exchange Act and shall not be deemed to be incorporated by reference to any filing under the Securities Act of 1933, as amended, or the Exchange Act (whether made before or after the date of the Form 10-K), irrespective of any general incorporation language contained in such filing.</w:t>
      </w:r>
    </w:p>
    <w:p>
      <w:pPr>
        <w:pStyle w:val="TextBody"/>
        <w:bidi w:val="0"/>
        <w:spacing w:lineRule="auto" w:line="288" w:before="0" w:after="12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Indicates a management contract or compensatory plan.</w:t>
      </w:r>
    </w:p>
    <w:p>
      <w:pPr>
        <w:pStyle w:val="TextBody"/>
        <w:bidi w:val="0"/>
        <w:spacing w:lineRule="auto" w:line="288" w:before="0" w:after="120"/>
        <w:ind w:left="0" w:right="0" w:hanging="360"/>
        <w:jc w:val="both"/>
        <w:rPr>
          <w:color w:val="000000"/>
          <w:shd w:fill="FFFFFF" w:val="clear"/>
        </w:rPr>
      </w:pPr>
      <w:r>
        <w:rPr>
          <w:color w:val="000000"/>
          <w:shd w:fill="FFFFFF" w:val="clear"/>
        </w:rPr>
        <w:t>†    </w:t>
      </w:r>
      <w:r>
        <w:rPr>
          <w:rFonts w:ascii="Times New Roman;sans-serif" w:hAnsi="Times New Roman;sans-serif"/>
          <w:b w:val="false"/>
          <w:color w:val="000000"/>
          <w:sz w:val="20"/>
          <w:shd w:fill="FFFFFF" w:val="clear"/>
        </w:rPr>
        <w:t xml:space="preserve">Certain portions of this exhibit have been omitted because the omitted information is (i) not material and (ii) would likely cause competitive harm to the Company if publicly disclosed.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06705"/>
                <wp:effectExtent l="0" t="0" r="0" b="0"/>
                <wp:wrapNone/>
                <wp:docPr id="86" name="Frame8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06705"/>
                <wp:effectExtent l="0" t="0" r="0" b="0"/>
                <wp:wrapNone/>
                <wp:docPr id="87" name="Frame8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138" w:type="dxa"/>
        <w:jc w:val="left"/>
        <w:tblInd w:w="0" w:type="dxa"/>
        <w:tblLayout w:type="fixed"/>
        <w:tblCellMar>
          <w:top w:w="28" w:type="dxa"/>
          <w:left w:w="28" w:type="dxa"/>
          <w:bottom w:w="28" w:type="dxa"/>
          <w:right w:w="28" w:type="dxa"/>
        </w:tblCellMar>
      </w:tblPr>
      <w:tblGrid>
        <w:gridCol w:w="472"/>
        <w:gridCol w:w="416"/>
        <w:gridCol w:w="417"/>
        <w:gridCol w:w="521"/>
        <w:gridCol w:w="521"/>
        <w:gridCol w:w="521"/>
        <w:gridCol w:w="957"/>
        <w:gridCol w:w="957"/>
        <w:gridCol w:w="1356"/>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AQUESTIVE THERAPEUTICS, INC.</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Barber</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President and Chief Executive Officer</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this report has been signed below by the following persons on behalf of the registrant and in the capabilities and on the dates indicated.</w:t>
      </w:r>
    </w:p>
    <w:p>
      <w:pPr>
        <w:pStyle w:val="TextBody"/>
        <w:bidi w:val="0"/>
        <w:spacing w:before="0" w:after="0"/>
        <w:jc w:val="left"/>
        <w:rPr/>
      </w:pPr>
      <w:r>
        <w:rPr/>
      </w:r>
    </w:p>
    <w:tbl>
      <w:tblPr>
        <w:tblW w:w="10042"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981"/>
        <w:gridCol w:w="1981"/>
        <w:gridCol w:w="2007"/>
        <w:gridCol w:w="109"/>
        <w:gridCol w:w="109"/>
        <w:gridCol w:w="109"/>
        <w:gridCol w:w="389"/>
        <w:gridCol w:w="389"/>
        <w:gridCol w:w="55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Barber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A. Ernest Toth, Jr.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Ernest Toth, Jr.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Gregory B. Brown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B. Brown, M.D.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Abigail L. Jenkins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Abigail L. Jenkins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John S. Cochran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S. Cochran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Julie Krop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Julie Krop, M.D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Marco Taglietti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Marco Taglietti,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Morris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Timothy Morris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06705"/>
                <wp:effectExtent l="0" t="0" r="0" b="0"/>
                <wp:wrapNone/>
                <wp:docPr id="88" name="Frame8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p>
      <w:pPr>
        <w:pStyle w:val="TextBody"/>
        <w:bidi w:val="0"/>
        <w:spacing w:before="0" w:after="0"/>
        <w:jc w:val="left"/>
        <w:rPr/>
      </w:pPr>
      <w:r>
        <w:rPr/>
      </w:r>
    </w:p>
    <w:tbl>
      <w:tblPr>
        <w:tblW w:w="9091" w:type="dxa"/>
        <w:jc w:val="left"/>
        <w:tblInd w:w="0" w:type="dxa"/>
        <w:tblLayout w:type="fixed"/>
        <w:tblCellMar>
          <w:top w:w="28" w:type="dxa"/>
          <w:left w:w="28" w:type="dxa"/>
          <w:bottom w:w="28" w:type="dxa"/>
          <w:right w:w="28" w:type="dxa"/>
        </w:tblCellMar>
      </w:tblPr>
      <w:tblGrid>
        <w:gridCol w:w="3002"/>
        <w:gridCol w:w="2639"/>
        <w:gridCol w:w="2654"/>
        <w:gridCol w:w="233"/>
        <w:gridCol w:w="233"/>
        <w:gridCol w:w="330"/>
      </w:tblGrid>
      <w:tr>
        <w:trPr/>
        <w:tc>
          <w:tcPr>
            <w:tcW w:w="3002"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br/>
              <w:t>Number</w:t>
            </w:r>
          </w:p>
        </w:tc>
      </w:tr>
      <w:tr>
        <w:trPr/>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33">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r>
              <w:rPr>
                <w:rFonts w:ascii="Times New Roman;sans-serif" w:hAnsi="Times New Roman;sans-serif"/>
                <w:b w:val="false"/>
                <w:color w:val="000000"/>
                <w:sz w:val="20"/>
              </w:rPr>
              <w:t xml:space="preserve"> (KPMG LLP, New York, NY,</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Auditor Firm ID: 185)</w:t>
            </w:r>
          </w:p>
        </w:tc>
        <w:tc>
          <w:tcPr>
            <w:tcW w:w="7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923e0667a4154926b1bf13232aa8c5e4_133">
              <w:r>
                <w:rPr>
                  <w:rStyle w:val="InternetLink"/>
                  <w:rFonts w:ascii="Times New Roman;sans-serif" w:hAnsi="Times New Roman;sans-serif"/>
                  <w:b w:val="false"/>
                  <w:color w:val="0000FF"/>
                  <w:sz w:val="20"/>
                  <w:u w:val="single"/>
                </w:rPr>
                <w:t>2</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Sheets as of December 31, 2024 and 2023</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39">
              <w:r>
                <w:rPr>
                  <w:rStyle w:val="InternetLink"/>
                  <w:rFonts w:ascii="Times New Roman;sans-serif" w:hAnsi="Times New Roman;sans-serif"/>
                  <w:b w:val="false"/>
                  <w:color w:val="0000FF"/>
                  <w:sz w:val="20"/>
                  <w:u w:val="single"/>
                </w:rPr>
                <w:t>4</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42">
              <w:r>
                <w:rPr>
                  <w:rStyle w:val="InternetLink"/>
                  <w:rFonts w:ascii="Times New Roman;sans-serif" w:hAnsi="Times New Roman;sans-serif"/>
                  <w:b w:val="false"/>
                  <w:strike w:val="false"/>
                  <w:dstrike w:val="false"/>
                  <w:color w:val="000000"/>
                  <w:sz w:val="20"/>
                  <w:u w:val="none"/>
                  <w:effect w:val="none"/>
                </w:rPr>
                <w:t xml:space="preserve">Statements of Operations and Comprehensive Loss for the Years Ended </w:t>
              </w:r>
            </w:hyperlink>
            <w:r>
              <w:rPr>
                <w:rFonts w:ascii="Times New Roman;sans-serif" w:hAnsi="Times New Roman;sans-serif"/>
                <w:b w:val="false"/>
                <w:color w:val="000000"/>
                <w:sz w:val="20"/>
              </w:rPr>
              <w:t>December 31, 2024 and 2023</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42">
              <w:r>
                <w:rPr>
                  <w:rStyle w:val="InternetLink"/>
                  <w:rFonts w:ascii="Times New Roman;sans-serif" w:hAnsi="Times New Roman;sans-serif"/>
                  <w:b w:val="false"/>
                  <w:color w:val="0000FF"/>
                  <w:sz w:val="20"/>
                  <w:u w:val="single"/>
                </w:rPr>
                <w:t>5</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45">
              <w:r>
                <w:rPr>
                  <w:rStyle w:val="InternetLink"/>
                  <w:rFonts w:ascii="Times New Roman;sans-serif" w:hAnsi="Times New Roman;sans-serif"/>
                  <w:b w:val="false"/>
                  <w:strike w:val="false"/>
                  <w:dstrike w:val="false"/>
                  <w:color w:val="000000"/>
                  <w:sz w:val="20"/>
                  <w:u w:val="none"/>
                  <w:effect w:val="none"/>
                </w:rPr>
                <w:t>Statements of Changes in Stockholders’ Deficit for the Years Ended</w:t>
              </w:r>
            </w:hyperlink>
            <w:r>
              <w:rPr>
                <w:rFonts w:ascii="Times New Roman;sans-serif" w:hAnsi="Times New Roman;sans-serif"/>
                <w:b w:val="false"/>
                <w:color w:val="000000"/>
                <w:sz w:val="20"/>
              </w:rPr>
              <w:t xml:space="preserve"> December 31, 2024 and 2023</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45">
              <w:r>
                <w:rPr>
                  <w:rStyle w:val="InternetLink"/>
                  <w:rFonts w:ascii="Times New Roman;sans-serif" w:hAnsi="Times New Roman;sans-serif"/>
                  <w:b w:val="false"/>
                  <w:color w:val="0000FF"/>
                  <w:sz w:val="20"/>
                  <w:u w:val="single"/>
                </w:rPr>
                <w:t>6</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48">
              <w:r>
                <w:rPr>
                  <w:rStyle w:val="InternetLink"/>
                  <w:rFonts w:ascii="Times New Roman;sans-serif" w:hAnsi="Times New Roman;sans-serif"/>
                  <w:b w:val="false"/>
                  <w:strike w:val="false"/>
                  <w:dstrike w:val="false"/>
                  <w:color w:val="000000"/>
                  <w:sz w:val="20"/>
                  <w:u w:val="none"/>
                  <w:effect w:val="none"/>
                </w:rPr>
                <w:t xml:space="preserve">Statements of Cash Flows for the Years Ended </w:t>
              </w:r>
            </w:hyperlink>
            <w:r>
              <w:rPr>
                <w:rFonts w:ascii="Times New Roman;sans-serif" w:hAnsi="Times New Roman;sans-serif"/>
                <w:b w:val="false"/>
                <w:color w:val="000000"/>
                <w:sz w:val="20"/>
              </w:rPr>
              <w:t>December 31, 2024 and 2023</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48">
              <w:r>
                <w:rPr>
                  <w:rStyle w:val="InternetLink"/>
                  <w:rFonts w:ascii="Times New Roman;sans-serif" w:hAnsi="Times New Roman;sans-serif"/>
                  <w:b w:val="false"/>
                  <w:color w:val="0000FF"/>
                  <w:sz w:val="20"/>
                  <w:u w:val="single"/>
                </w:rPr>
                <w:t>7</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3e0667a4154926b1bf13232aa8c5e4_151">
              <w:r>
                <w:rPr>
                  <w:rStyle w:val="InternetLink"/>
                  <w:rFonts w:ascii="Times New Roman;sans-serif" w:hAnsi="Times New Roman;sans-serif"/>
                  <w:b w:val="false"/>
                  <w:strike w:val="false"/>
                  <w:dstrike w:val="false"/>
                  <w:color w:val="000080"/>
                  <w:sz w:val="20"/>
                  <w:u w:val="single"/>
                  <w:effect w:val="none"/>
                </w:rPr>
                <w:t xml:space="preserve">Notes to the </w:t>
              </w:r>
            </w:hyperlink>
            <w:hyperlink w:anchor="i923e0667a4154926b1bf13232aa8c5e4_151">
              <w:r>
                <w:rPr>
                  <w:rStyle w:val="InternetLink"/>
                  <w:rFonts w:ascii="Times New Roman;sans-serif" w:hAnsi="Times New Roman;sans-serif"/>
                  <w:b w:val="false"/>
                  <w:strike w:val="false"/>
                  <w:dstrike w:val="false"/>
                  <w:color w:val="000080"/>
                  <w:sz w:val="20"/>
                  <w:u w:val="single"/>
                  <w:effect w:val="none"/>
                </w:rPr>
                <w:t>Financial Statements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23e0667a4154926b1bf13232aa8c5e4_151">
              <w:r>
                <w:rPr>
                  <w:rStyle w:val="InternetLink"/>
                  <w:rFonts w:ascii="Times New Roman;sans-serif" w:hAnsi="Times New Roman;sans-serif"/>
                  <w:b w:val="false"/>
                  <w:color w:val="0000FF"/>
                  <w:sz w:val="20"/>
                  <w:u w:val="single"/>
                </w:rPr>
                <w:t>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06705"/>
                <wp:effectExtent l="0" t="0" r="0" b="0"/>
                <wp:wrapNone/>
                <wp:docPr id="89" name="Frame8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 on the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balance sheets of Aquestive Therapeutics, Inc. (the Company) as of December 31, 2024 and 2023, the related statements of operations and comprehensive loss, changes in stockholders’ deficit, and cash flows for each of the years in the two-year period ended December 31, 2024, and the related notes (collectively, the financial statements). In our opinion, the financial statements present fairly, in all material respects, the financial position of the Company as of December 31, 2024 and 2023, and the results of its operations and its cash flows for each of the years in the two-year period ended December 31, 2024, in conformity with U.S. generally accepted accounting principles.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the Company’s ability to continue as a going concern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4 to the financial statements, the Company has experienced a history of net losses. The Company’s accumulated deficit totaled $363,214 thousand as of December 31, 2024. Historically, the Company’s sources of liquidity included cash and cash equivalents, equity, and debt offerings. The Company believes that its ongoing business, existing cash and equivalents, expense management activities, and access to equity capital markets through its ATM facility provide liquidity to fund its operating needs for at least twelve months from the date of issuance of these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Company’s assessment of its ability to continue as a going concern as a critical audit matter. A high degree of subjective auditor judgment was required to evaluate the Company’s forecasted cash flows used in its going concern analysis due to uncertainty in certain assumptions, specifically forecasted expenses.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compared the Company’s historical forecasted cash flows to actual results to assess the Company’s ability to accurately forecast. We performed sensitivity analyses over the Company’s forecasted cash flows by evaluating the effect of changes to the forecasted expenses on the Company’s going concern assessment. We assessed the reasonableness of the Company’s forecasted expenses by comparing to management’s communications to the Board of Directors and public information disseminated by the Company. We assessed the Company’s disclosures related to its going concern assessment by comparing the disclosures to the audit evidence obtained.</w:t>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06705"/>
                <wp:effectExtent l="0" t="0" r="0" b="0"/>
                <wp:wrapNone/>
                <wp:docPr id="90" name="Frame8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2006.</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 Hills, New Jersey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06705"/>
                <wp:effectExtent l="0" t="0" r="0" b="0"/>
                <wp:wrapNone/>
                <wp:docPr id="91" name="Frame8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share/unit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63"/>
        <w:gridCol w:w="2409"/>
        <w:gridCol w:w="2372"/>
        <w:gridCol w:w="211"/>
        <w:gridCol w:w="826"/>
        <w:gridCol w:w="109"/>
        <w:gridCol w:w="109"/>
        <w:gridCol w:w="109"/>
        <w:gridCol w:w="109"/>
        <w:gridCol w:w="211"/>
        <w:gridCol w:w="721"/>
        <w:gridCol w:w="156"/>
      </w:tblGrid>
      <w:tr>
        <w:trPr/>
        <w:tc>
          <w:tcPr>
            <w:tcW w:w="2863"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payable,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Liability related to the sale of future revenue, net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Contingencies (Note 23)</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Authorized 250,000,000 shares; 91,413,742 and 68,533,085 shares issued and outstanding at December 31, 2024 and December 31,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101,424 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57,418 </w:t>
            </w:r>
          </w:p>
        </w:tc>
        <w:tc>
          <w:tcPr>
            <w:tcW w:w="1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06705"/>
                <wp:effectExtent l="0" t="0" r="0" b="0"/>
                <wp:wrapNone/>
                <wp:docPr id="92" name="Frame9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Statements of Operations 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 amounts)</w:t>
      </w:r>
    </w:p>
    <w:p>
      <w:pPr>
        <w:pStyle w:val="TextBody"/>
        <w:bidi w:val="0"/>
        <w:spacing w:before="0" w:after="0"/>
        <w:jc w:val="left"/>
        <w:rPr/>
      </w:pPr>
      <w:r>
        <w:rPr/>
      </w:r>
    </w:p>
    <w:tbl>
      <w:tblPr>
        <w:tblW w:w="7583" w:type="dxa"/>
        <w:jc w:val="left"/>
        <w:tblInd w:w="0" w:type="dxa"/>
        <w:tblLayout w:type="fixed"/>
        <w:tblCellMar>
          <w:top w:w="28" w:type="dxa"/>
          <w:left w:w="28" w:type="dxa"/>
          <w:bottom w:w="28" w:type="dxa"/>
          <w:right w:w="28" w:type="dxa"/>
        </w:tblCellMar>
      </w:tblPr>
      <w:tblGrid>
        <w:gridCol w:w="1833"/>
        <w:gridCol w:w="1606"/>
        <w:gridCol w:w="1615"/>
        <w:gridCol w:w="211"/>
        <w:gridCol w:w="796"/>
        <w:gridCol w:w="109"/>
        <w:gridCol w:w="109"/>
        <w:gridCol w:w="109"/>
        <w:gridCol w:w="109"/>
        <w:gridCol w:w="211"/>
        <w:gridCol w:w="721"/>
        <w:gridCol w:w="154"/>
      </w:tblGrid>
      <w:tr>
        <w:trPr/>
        <w:tc>
          <w:tcPr>
            <w:tcW w:w="183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royalty obligations,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the 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benefit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Loss per share attributable to common stockholders: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(in dollars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Weighted-average number of common shares outstanding:</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(in shares)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86,726,211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61,255,864</w:t>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06705"/>
                <wp:effectExtent l="0" t="0" r="0" b="0"/>
                <wp:wrapNone/>
                <wp:docPr id="93" name="Frame9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Statements of Changes in Stockholders’ Deficit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1"/>
        <w:gridCol w:w="849"/>
        <w:gridCol w:w="853"/>
        <w:gridCol w:w="109"/>
        <w:gridCol w:w="109"/>
        <w:gridCol w:w="109"/>
        <w:gridCol w:w="540"/>
        <w:gridCol w:w="541"/>
        <w:gridCol w:w="226"/>
        <w:gridCol w:w="110"/>
        <w:gridCol w:w="110"/>
        <w:gridCol w:w="110"/>
        <w:gridCol w:w="241"/>
        <w:gridCol w:w="414"/>
        <w:gridCol w:w="126"/>
        <w:gridCol w:w="109"/>
        <w:gridCol w:w="109"/>
        <w:gridCol w:w="109"/>
        <w:gridCol w:w="211"/>
        <w:gridCol w:w="826"/>
        <w:gridCol w:w="109"/>
        <w:gridCol w:w="109"/>
        <w:gridCol w:w="109"/>
        <w:gridCol w:w="109"/>
        <w:gridCol w:w="211"/>
        <w:gridCol w:w="897"/>
        <w:gridCol w:w="109"/>
        <w:gridCol w:w="109"/>
        <w:gridCol w:w="109"/>
        <w:gridCol w:w="109"/>
        <w:gridCol w:w="213"/>
        <w:gridCol w:w="899"/>
        <w:gridCol w:w="161"/>
      </w:tblGrid>
      <w:tr>
        <w:trPr/>
        <w:tc>
          <w:tcPr>
            <w:tcW w:w="114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Stockholders’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Deficit</w:t>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54,827,734 </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(118,554)</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warrant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8,689,452 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private equity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4,958,341 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68,533,085 </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212,521 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(319,077)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(106,487)</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offering-ATM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4,557,220 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offering-ATM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17,226,468 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warrant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673,925 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91,413,742 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(60,156)</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06705"/>
                <wp:effectExtent l="0" t="0" r="0" b="0"/>
                <wp:wrapNone/>
                <wp:docPr id="94" name="Frame9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Statements of Cash Flows (In thousands)</w:t>
      </w:r>
    </w:p>
    <w:tbl>
      <w:tblPr>
        <w:tblW w:w="9144" w:type="dxa"/>
        <w:jc w:val="left"/>
        <w:tblInd w:w="0" w:type="dxa"/>
        <w:tblLayout w:type="fixed"/>
        <w:tblCellMar>
          <w:top w:w="28" w:type="dxa"/>
          <w:left w:w="28" w:type="dxa"/>
          <w:bottom w:w="28" w:type="dxa"/>
          <w:right w:w="28" w:type="dxa"/>
        </w:tblCellMar>
      </w:tblPr>
      <w:tblGrid>
        <w:gridCol w:w="2392"/>
        <w:gridCol w:w="2104"/>
        <w:gridCol w:w="2119"/>
        <w:gridCol w:w="211"/>
        <w:gridCol w:w="796"/>
        <w:gridCol w:w="109"/>
        <w:gridCol w:w="109"/>
        <w:gridCol w:w="109"/>
        <w:gridCol w:w="109"/>
        <w:gridCol w:w="211"/>
        <w:gridCol w:w="721"/>
        <w:gridCol w:w="154"/>
      </w:tblGrid>
      <w:tr>
        <w:trPr/>
        <w:tc>
          <w:tcPr>
            <w:tcW w:w="2392"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for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contract termination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the 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and other receivables,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100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(35,759)</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100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public equity offering-ATM, net</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public equity offering,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warrants,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shares issued under employee stock purchase plan</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Royalty Rights Agreements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 principal including lease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royalty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paid to retire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taxes on 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0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activities: capital expenditures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financing activities: accrued taxes on share-based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06705"/>
                <wp:effectExtent l="0" t="0" r="0" b="0"/>
                <wp:wrapNone/>
                <wp:docPr id="95" name="Frame9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AQUESTIVE THERAPEUTICS,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Financial Statements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and per share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    Company Overview and Equity Transactions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68" w:before="0" w:after="120"/>
        <w:ind w:left="0" w:right="0" w:firstLine="720"/>
        <w:jc w:val="both"/>
        <w:rPr/>
      </w:pPr>
      <w:r>
        <w:rPr>
          <w:rFonts w:ascii="Times New Roman;sans-serif" w:hAnsi="Times New Roman;sans-serif"/>
          <w:b w:val="false"/>
          <w:color w:val="000000"/>
          <w:sz w:val="20"/>
        </w:rPr>
        <w:t>Aquestive Therapeutics, Inc. is a pharmaceutical company advancing medicines to bring meaningful improvement to patients’ lives through innovative science and delivery technologies. The Company is developing pharmaceutical products to deliver complex molecules through alternative administrations to invasive and inconvenient standard of care therapies. The Company has a proprietary commercial product, Libervant® (diazepam) Buccal Film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seizure clusters, acute repetitive seizures) that are distinct from a patient’s usual seizure pattern in patients between two and five years of age, which was launched in April 2024. The Company is also advancing a product pipeline for the treatment of severe allergic reactions, including anaphylaxis, under the Anaphylm™ trade name, and its Adrenaverse™ epinephrine prodrug pipeline platform. The Company has five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Company’s production facilities are located in Portage, Indiana, and its corporate headquarters and primary research laboratory facilities are based in Warren, New Jersey.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Transactions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Offering of Common Stock</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established its first ATM facility in September 2019, and since inception to December 31, 2024, the Company has sold 19,857,518 shares of Common Stock under its ATM Facility which has generated net cash proceeds of approximately $60,524, net of commissions and other transactions costs of $3,119. On April 3, 2024, the Company filed a new shelf registration statement on Form S-3, the 2024 Registration Statement, which was declared effective by the SEC on April 23, 2024. Included in the 2024 Registration Statement are (i) a base prospectus registering the offer, issuance and sale of up to $250,000 worth of Common Stock, preferred stock, debt securities, warrants, rights and units and (ii) a $100,000 ATM facility prospectus. For the year ended December 31, 2024, the Company sold 4,557,220 shares of common stock pursuant to the ATM prospectus and the Amended Equity Distribution Agreement with Piper Sandler &amp; Co. (successor to Piper Jaffray &amp; Co.), which provided net proceeds of approximately $11,821 after deducting commissions and other transaction costs of $564. For the year ended December 31, 2023, the Company sold 4,958,341 shares which provided net proceeds of approximately $8,962 after deducting commissions and other transaction costs of $502. The remaining authorized balance of the ATM facility was $100,000 as of December 31, 2024.</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2022, the Company entered into the Lincoln Park Purchase Agreement, which provides that, upon the terms and subject to the conditions and limitations set forth in the Lincoln Park Purchase Agreement, the Company has the right, but not the obligation, to sell to Lincoln Park up to $40,000 worth of shares of Common Stock from time to time over the 36-month term of the Lincoln Park Purchase Agreement. The Lincoln Park Purchase Agreement contains an ownership limitation such that the Company will not issue, and Lincoln Park will not purchase, shares of Common Stock if it would result in Lincoln Park’s beneficial ownership exceeding 9.99% of the Company's then outstanding Common Stock. Lincoln Park has covenanted under the Lincoln Park Purchase Agreement not to cause or engage in any manner whatsoever any direct or indirect short selling or hedging of our Common Stock. For the years ended December 31, 2024 and 2023, the Company did not sell shares in connection with the Lincoln Park Purchase Agreement. The Company has no current intent to use the Lincoln Park facility and the Lincoln Park Purchase agreement will expire on April 12, 2025.</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2024, the Company completed the underwritten public offering of 16,666,667 shares of its common stock at the public offering price of $4.50 per share. In addition, pursuant to the partial exercise of the underwriters' option, on April 22, 2024, the Company sold an additional 559,801 shares of Common Stock. Net proceeds from the underwritten public offering, including the exercise of underwriters' option were $72,868, after deducting underwriting discounts of $4,651. In addition to the underwriting discounts related to this offering, the Company incurred professional fees and other costs totaling $894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     Basis of Presentation and Principles of Consolidation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have been prepared in accordance with GAAP in the United States of America, and in accordance with the rules and regulations of the SEC. Certain reclassifications were made to conform to the current year presentation. As of March 31, 2024, the Company dissolved its subsidiaries and no longer prepares its financial statements on a consolidated basis. The dissolution of the subsidiaries did not have a material impact on the Company’s financial statements as of December 31, 2024 or the consolidated financial statements as of December 31,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reference in these notes to applicable guidance is meant to refer to the authoritative United States generally accepted accounting principles as found in the ASC and ASU of FASB.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06705"/>
                <wp:effectExtent l="0" t="0" r="0" b="0"/>
                <wp:wrapNone/>
                <wp:docPr id="96" name="Frame9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3.    Summary of Significant Accounting Policies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the use of estimates and assumptions that affect the reported amounts of assets and liabilities, including disclosure of contingent assets and contingent liabilities, at the date of the financial statements and the reported amounts of revenues and expenses during the reporting period. These estimates and assumptions often involve assessments of matters that are inherently uncertain and accordingly actual results could differ from those estimates. Significant items subject to estimates and assumptions include those related to revenue recognition, inventory costs, allowances for rebates from proprietary product sales of Libervant for patients between two to five years of age, allowances for sales returns, the useful lives of fixed assets and the valuations of warrants issued, royalty obligations, sale of future revenues, share-based compensation, and contingencies.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short-term, highly liquid investments purchased with original maturities of three months or less to be cash equivalents. At December 31, 2024 and 2023, cash and cash equivalents consisted of cash in bank accounts and money market Treasury mutual funds.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are held by federally insured financial institutions that management believes are of high credit quality. The Company has not experienced any losses in such accounts and such amounts may exceed federally-insured limits of $250.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Concentration of the Company’s significant customers as of December 31, 2024 and 2023 is outlined in Note 6, </w:t>
      </w:r>
      <w:r>
        <w:rPr>
          <w:rFonts w:ascii="Times New Roman;sans-serif" w:hAnsi="Times New Roman;sans-serif"/>
          <w:b w:val="false"/>
          <w:i/>
          <w:color w:val="000000"/>
          <w:sz w:val="20"/>
        </w:rPr>
        <w:t xml:space="preserve">Revenues and Trade Receivables, Net. </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Trade Accounts Receivable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Trade accounts receivable are recorded at the invoiced amount and do not bear interest. The Company grants credit to customers in the normal course of business, but generally does not require collateral or any other security to support its</w:t>
      </w:r>
      <w:r>
        <w:rPr>
          <w:color w:val="000000"/>
        </w:rPr>
        <w:t xml:space="preserve"> </w:t>
      </w:r>
      <w:r>
        <w:rPr>
          <w:rFonts w:ascii="Times New Roman;sans-serif" w:hAnsi="Times New Roman;sans-serif"/>
          <w:b w:val="false"/>
          <w:color w:val="000000"/>
          <w:sz w:val="20"/>
        </w:rPr>
        <w:t xml:space="preserve">receivables. The Company’s credit terms generally range from 30 to 60 days, depending on the customer and type of invoice.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allowance for credit losses on accounts receivable, which is recorded as a reduction to accounts receivable. Changes in the allowance are classified as Selling, general and administrative expenses in the Statements of Operations and Comprehensive Loss. The Company assesses collectability by reviewing accounts receivable on a collective basis where similar characteristics exist and on an individual basis when it identifies specific customers with known disputes or collectability issues. In determining the amount of the allowance for credit losses, the Company considers historical collectability based on past due status. It also considers customer-specific information, current market conditions and reasonable and supportable forecasts of future economic conditions to inform adjustments to historical loss data. On an ongoing basis, management evaluates the adequacy of these reserves. The allowance for credit losses, was $0 and $14 as of December 31, 2024 and 2023, respectively.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consisting of purchased materials, direct labor and manufacturing overhead, are stated at the lower of cost, determined by the first-in, first-out method, or net realizable value. The Company regularly reviews its inventories for impairment and reserves are established when necessary.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Company evaluates inventories for excess quantities, obsolescence and shelf life expiration. This evaluation includes analysis of historical sales levels by product, projections of future demand, the risk of competitive obsolescence for products, general market conditions, and a review of the shelf life expiration dates for products. To the extent that management determines there are excess or obsolete inventory or quantities with a shelf life that is too near its expiration for the Company to reasonably expect that it can sell those products, or use them in production, prior to their expiration, the Company records allowances to adjust the carrying value to estimated net realizable value as necessary. The Company expenses inventory related to the Company’s research and development activities when the Company purchases or manufactures it. Before the regulatory approval of the Company’s product candidates, the Company recognizes research and development expense for the manufacture of drug products that could potentially be available to support the commercial launch of the Company’s drug candidates, if approved by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06705"/>
                <wp:effectExtent l="0" t="0" r="0" b="0"/>
                <wp:wrapNone/>
                <wp:docPr id="97" name="Frame9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stated at cost net of accumulated depreciation and amortization, which is computed by the straight-line method based on the estimated useful lives of the respective assets, as discussed below. Leasehold improvements are amortized over the shorter of the lease terms or the estimated useful lives of the leased assets. Maintenance and repair costs are charged to expense as incurred, and expenditures for major renewals and improvements are capitalized. Upon disposition of property and equipment, the related cost and accumulated depreciation and amortization are removed from the accounts, and any gain or loss is reflected in the Statements of Operations and Comprehensive Loss.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Intangible assets included the costs of acquired composition and process technologies, the costs of purchased patents used in the manufacture of orally soluble film and the costs of acquired NDA. The Company amortized these assets using the straight-line method over the shorter of their legal lives or estimated useful lives. As of December 31, 2024, the balance of the Company's intangible assets was zero, see Note 12, </w:t>
      </w:r>
      <w:r>
        <w:rPr>
          <w:rFonts w:ascii="Times New Roman;sans-serif" w:hAnsi="Times New Roman;sans-serif"/>
          <w:b w:val="false"/>
          <w:i/>
          <w:color w:val="000000"/>
          <w:sz w:val="20"/>
        </w:rPr>
        <w:t>Intangible Assets, Net</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 lived assets, such as property, plant, and equipment, are reviewed for impairment whenever events or changes in circumstances indicate that the carrying amount of an asset may not be recoverable. In these circumstances, the Company compares undiscounted cash flows expected to be generated by that asset or asset group to the corresponding carrying amounts. If this comparison is indicative of impairment, an impairment charge is recognized to the extent that the carrying amount exceeds its fair value. Fair value is determined through various valuation techniques including discounted cash flow models, quoted market values and third-party independent appraisals, as considered most appropriate. No impairment was recognized for the year ended December 31, 2024. The impairment charge of $216 was recognized for the year ended December 31, 2023.</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Determination if an arrangement is a lease is made at inception. An arrangement is determined to contain a lease if the contract conveys the right to control the use of an identified property and equipment for a period of time in exchange for consideration. If the Company can benefit from the various underlying assets of a lease on their own or together with other resources that are readably available, or if the various underlying assets are neither highly dependent nor highly interrelated with underlying assets in the arrangements, they are considered to be a separate lease component. In the event multiple underlying assets are identified, the lease consideration is allocated to the various components based on each on the component’s relative fair value.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assets represent the Company's right to use an underlying asset for the lease term and operating lease liabilities represent an obligation to make lease payments arising from the lease arrangement. Operating lease assets and operating lease liabilities are recognized at commencement date based on the present value of lease payments over the lease term. As most of the Company’s leases do not provide an implicit rate, in determining the operating lease liability, the Company uses an estimate of its incremental borrowing rate. The calculation of the operating lease assets includes any lease payments made and excludes any lease incentives. Our lease terms may include options to extend or terminate the lease and are included when it is reasonably certain that the Company will exercise the option.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operating lease assets and lease liabilities in its Balance Sheets. Lease expenses for lease payments are recognized on a straight-line bases over the lease term. Short-term leases, or leases that have a lease term of 12 months or less at consummation date, are excluded from this treatment and are recognized on a straight-line basis over the term of the lease. During the year ended December 31, 2023, the Company recognized a lease supporting its manufacturing facilities as a finance lease. Commitments under finance leases are not significant, and are included in Property and equipment, net; Loans payable, current and Notes payable, net on the Balance Sheets.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Royalty Obligations, net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On November 1, 2023, in connection with the issuance of the 13.5% Notes, the Company and the Note Holders entered into the Royalty Rights Agreements, which provide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 Royalty Rights Agreements are classified as debt, and the value of the $45,000 13.5% Notes has been allocated between debt and the royalty obligations based on their relative fair market values. The fair value of the royalty obligation is being amortized over the life of the Royalty Rights Agreements and such amortization is reflected as interest expense related to royalty obligations in the Statements of Operations and Comprehensive Loss. The 13.5% Notes are discussed in Note 15,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to its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06705"/>
                <wp:effectExtent l="0" t="0" r="0" b="0"/>
                <wp:wrapNone/>
                <wp:docPr id="98" name="Frame9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Revenue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treats the liability related to the sale of future revenue as debt financing, amortized under the effective interest rate method over the estimated life of the related expected royalty stream. The liability related to the sale of future revenue and the related interest expense are based on its current estimates of future royalties expected to be paid over the life of the arrangement. The Company periodically assesses the expected royalty payments using a combination of internal projections and forecasts from external resources. To the extent its future estimates of royalty payments are greater or less than previous estimates or the timing of such payments is materially different than its previous estimates, the Company will prospectively recognize related interest expense. Amortization of debt is reflected as interest expense related to the sale of future revenue in the Statements of Operations and Comprehensive Loss. For further discussion of the sale of the future revenue, see Note 17, </w:t>
      </w:r>
      <w:r>
        <w:rPr>
          <w:rFonts w:ascii="Times New Roman;sans-serif" w:hAnsi="Times New Roman;sans-serif"/>
          <w:b w:val="false"/>
          <w:i/>
          <w:color w:val="000000"/>
          <w:sz w:val="20"/>
        </w:rPr>
        <w:t>Sale of Future Revenue.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Company’s revenues include (i) sales of manufactured products pursuant to contracts with commercialization licensees, (ii) license and royalty revenues, (iii) co-development and research fees generally in the form of milestone payments, and (iv) sales of its proprietary CNS product, Libervant, for patients between two to five years of age. See Note 6, </w:t>
      </w:r>
      <w:r>
        <w:rPr>
          <w:rFonts w:ascii="Times New Roman;sans-serif" w:hAnsi="Times New Roman;sans-serif"/>
          <w:b w:val="false"/>
          <w:i/>
          <w:color w:val="000000"/>
          <w:sz w:val="20"/>
        </w:rPr>
        <w:t>Revenues and Trade Receivables, Net</w:t>
      </w:r>
      <w:r>
        <w:rPr>
          <w:color w:val="000000"/>
        </w:rPr>
        <w:t xml:space="preserve"> </w:t>
      </w:r>
      <w:r>
        <w:rPr>
          <w:rFonts w:ascii="Times New Roman;sans-serif" w:hAnsi="Times New Roman;sans-serif"/>
          <w:b w:val="false"/>
          <w:color w:val="000000"/>
          <w:sz w:val="20"/>
        </w:rPr>
        <w:t>for further details.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invoices or statements of work.</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Manufacture and supply revenue</w:t>
      </w:r>
      <w:r>
        <w:rPr>
          <w:color w:val="000000"/>
        </w:rPr>
        <w:t xml:space="preserve"> – </w:t>
      </w:r>
      <w:r>
        <w:rPr>
          <w:rFonts w:ascii="Times New Roman;sans-serif" w:hAnsi="Times New Roman;sans-serif"/>
          <w:b w:val="false"/>
          <w:color w:val="000000"/>
          <w:sz w:val="20"/>
        </w:rPr>
        <w:t>this revenue is derived from products manufactured exclusively for specific customers according to their strictly-defined specifications, subject only to specified quality control inspections. Accordingly, at the point in time when quality control requirements are satisfied, revenue net of related discounts is recorded.</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License and Royalty Revenue</w:t>
      </w:r>
      <w:r>
        <w:rPr>
          <w:color w:val="000000"/>
        </w:rPr>
        <w:t xml:space="preserve"> – </w:t>
      </w:r>
      <w:r>
        <w:rPr>
          <w:rFonts w:ascii="Times New Roman;sans-serif" w:hAnsi="Times New Roman;sans-serif"/>
          <w:b w:val="false"/>
          <w:color w:val="000000"/>
          <w:sz w:val="20"/>
        </w:rPr>
        <w:t>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Royalty revenue is estimated and recognized when sales under supply agreements with commercial licensees are recorded, absent any contractual constraints or collectability uncertainties. Royalties based on sales of licensed products have been recorded in this manner.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Revenue recognition arising from milestone payments is dependent upon the facts and circumstances surrounding the milestone payments. Milestone payments based on a non-sales metric such as a development-based milestone (</w:t>
      </w:r>
      <w:r>
        <w:rPr>
          <w:rFonts w:ascii="Times New Roman;sans-serif" w:hAnsi="Times New Roman;sans-serif"/>
          <w:b w:val="false"/>
          <w:i/>
          <w:color w:val="000000"/>
          <w:sz w:val="20"/>
        </w:rPr>
        <w:t>e.g.</w:t>
      </w:r>
      <w:r>
        <w:rPr>
          <w:rFonts w:ascii="Times New Roman;sans-serif" w:hAnsi="Times New Roman;sans-serif"/>
          <w:b w:val="false"/>
          <w:color w:val="000000"/>
          <w:sz w:val="20"/>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06705"/>
                <wp:effectExtent l="0" t="0" r="0" b="0"/>
                <wp:wrapNone/>
                <wp:docPr id="99" name="Frame9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Co-development and Research Fees</w:t>
      </w:r>
      <w:r>
        <w:rPr>
          <w:color w:val="000000"/>
        </w:rPr>
        <w:t xml:space="preserve"> – </w:t>
      </w:r>
      <w:r>
        <w:rPr>
          <w:rFonts w:ascii="Times New Roman;sans-serif" w:hAnsi="Times New Roman;sans-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 xml:space="preserve">Proprietary product sales, net </w:t>
      </w:r>
      <w:r>
        <w:rPr>
          <w:color w:val="000000"/>
        </w:rPr>
        <w:t xml:space="preserve">– </w:t>
      </w:r>
      <w:r>
        <w:rPr>
          <w:rFonts w:ascii="Times New Roman;sans-serif" w:hAnsi="Times New Roman;sans-serif"/>
          <w:b w:val="false"/>
          <w:color w:val="000000"/>
          <w:sz w:val="20"/>
        </w:rPr>
        <w:t>this net revenue is recognized when product is shipped and title passes to the customer, typically at time of delivery. At the time of sale, estimates for various revenue allowances are recorded based on historical trends and judgmental estimates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For sales of Libervant for patients between two to five years of age, returns allowances and prompt pay discounts are estimated based on contract terms and historical return rates, if available, and these estimates are recorded as a reduction of accounts receivables. Similarly determined estimates are recorded relating to wholesaler service fees, co-pay support redemptions,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 in certain situations, customer contractual payment terms provide for invoicing in arrears. Accordingly, some or all performance 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net within the Balance Sheets. As of December 31, 2024 and 2023, such contract assets were $578 and $1,662, respectively, consisting primarily of products and services provided under specific contracts to customers for which earnings processes have been met prior to shipment of goods or full delivery of completed services, as well as estimated receivables from contracts with third parties.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 in certain situations, customer contractual payment terms are structured to permit invoicing in advance of delivery of a good 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Balance Sheets. As remaining performance obligations are satisfied, an appropriate portion of the deferred revenue balance is credited to earnings. As of December 31, 2024 and 2023, such contract liabilities were $21,053 and $33,896, respectively.</w:t>
      </w:r>
    </w:p>
    <w:p>
      <w:pPr>
        <w:pStyle w:val="TextBody"/>
        <w:bidi w:val="0"/>
        <w:spacing w:lineRule="auto" w:line="26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to obtain contracts - in certain situations, the Company may incur incremental costs of obtaining a contract with a customer. These costs, if expected to be recovered, are recognized as an asset and reflected as other assets within the Balance Sheets. The asset is amortized on a systematic basis that is consistent with the transfer to the customer of the goods or services to which the asset relates. As of December 31, 2024 and 2023, such costs to obtain contracts were $480 and $715, respectively.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Research and development, or R&amp;D, expenses are recorded in accordance with ASC 730,</w:t>
      </w:r>
      <w:r>
        <w:rPr>
          <w:color w:val="000000"/>
        </w:rPr>
        <w:t xml:space="preserve"> </w:t>
      </w:r>
      <w:r>
        <w:rPr>
          <w:rFonts w:ascii="Times New Roman;sans-serif" w:hAnsi="Times New Roman;sans-serif"/>
          <w:b w:val="false"/>
          <w:i/>
          <w:color w:val="000000"/>
          <w:sz w:val="20"/>
        </w:rPr>
        <w:t xml:space="preserve">Research and Development </w:t>
      </w:r>
      <w:r>
        <w:rPr>
          <w:rFonts w:ascii="Times New Roman;sans-serif" w:hAnsi="Times New Roman;sans-serif"/>
          <w:b w:val="false"/>
          <w:color w:val="000000"/>
          <w:sz w:val="20"/>
        </w:rPr>
        <w:t>and are expensed as incurred. R&amp;D expenses include R&amp;D activities, services of external CROs, costs of their clinical research sites, scale-up and validation costs, and other activities. Internal R&amp;D activity expenses include laboratory supplies, salaries, benefits, and non-cash share-based compensation expenses. CROs activities include preclinical laboratory experiments and clinical studies. Other activity expenses include regulatory consulting and other costs. The activities undertaken by regulatory consultants that were classified as R&amp;D expense include assisting, communicating with, and advise its in-house staff with respect to various FDA submission processes, clinical trial processes and scientific writing matters, including preparing protocols and FDA submissions. These consulting expenses were direct costs associated with preparing, receiving and understanding work for its clinical trials and investigative drugs. Payments made to CROs based on agreed-upon terms, which may include payments in advance of a study start date. The Company expenses non-refundable advance payments for goods and services that will be used in future R&amp;D activities when the activity has been performed or when goods or services have been received rather than when payment was made. The Company reviews and accrues CROs expenses and clinical trial study expenses based on services performed and rely on estimates of those costs applicable to the completion state of study as provided by CROs. Estimated CROs costs subject to revisions as such studies progress to completion. The Company charges revisions to expense in the period when the facts that give rise to the revision become 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06705"/>
                <wp:effectExtent l="0" t="0" r="0" b="0"/>
                <wp:wrapNone/>
                <wp:docPr id="100" name="Frame9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Income taxes are recorded in accordance with FASB ASC Topic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or ASC 740, which provides for deferred taxes using an asset and liability approach. Deferred tax assets and liabilities are recognized for the future tax consequences attributable to differences between the financial statement carrying amounts of existing assets and liabilities and their respective tax bases using enacted tax rates in effect for the year in which the differences are expected to affect taxable income. Tax benefits are recognized when it is more likely than not that a tax position will be sustained during an audit. Valuation allowances are provided if, based upon the weight of available evidence, it is more likely than not that some or all of the deferred tax assets will not be realized.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Uncertain tax positions are accounted for in accordance with the provision of ASC 740. When uncertain tax positions exist, the tax benefit is recognized to the extent that the benefit will more likely than not be realized. The determination as to whether the tax benefit will more likely than not be realized is based upon the technical merits of the tax position, as well as consideration of the available facts and circumstances. To date, the Company has not had any significant uncertain tax positions.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records share-based compensation expenses for awards of stock options and RSUs under ASC 718, </w:t>
      </w:r>
      <w:r>
        <w:rPr>
          <w:rFonts w:ascii="Times New Roman;sans-serif" w:hAnsi="Times New Roman;sans-serif"/>
          <w:b w:val="false"/>
          <w:i/>
          <w:color w:val="000000"/>
          <w:sz w:val="20"/>
        </w:rPr>
        <w:t>Compensation — Stock Compensation</w:t>
      </w:r>
      <w:r>
        <w:rPr>
          <w:rFonts w:ascii="Times New Roman;sans-serif" w:hAnsi="Times New Roman;sans-serif"/>
          <w:b w:val="false"/>
          <w:color w:val="000000"/>
          <w:sz w:val="20"/>
        </w:rPr>
        <w:t xml:space="preserve">. For awards to non-employees for periods prior to the adoption of ASU 2018-07, </w:t>
      </w:r>
      <w:r>
        <w:rPr>
          <w:rFonts w:ascii="Times New Roman;sans-serif" w:hAnsi="Times New Roman;sans-serif"/>
          <w:b w:val="false"/>
          <w:i/>
          <w:color w:val="000000"/>
          <w:sz w:val="20"/>
        </w:rPr>
        <w:t>Compensation-Stock Compensation: Improvements to Non-employee Share-Based Payment Accounting,</w:t>
      </w:r>
      <w:r>
        <w:rPr>
          <w:color w:val="000000"/>
        </w:rPr>
        <w:t xml:space="preserve"> </w:t>
      </w:r>
      <w:r>
        <w:rPr>
          <w:rFonts w:ascii="Times New Roman;sans-serif" w:hAnsi="Times New Roman;sans-serif"/>
          <w:b w:val="false"/>
          <w:color w:val="000000"/>
          <w:sz w:val="20"/>
        </w:rPr>
        <w:t xml:space="preserve">on January 1, 2019, the Company had applied ASC 505-50, </w:t>
      </w:r>
      <w:r>
        <w:rPr>
          <w:rFonts w:ascii="Times New Roman;sans-serif" w:hAnsi="Times New Roman;sans-serif"/>
          <w:b w:val="false"/>
          <w:i/>
          <w:color w:val="000000"/>
          <w:sz w:val="20"/>
        </w:rPr>
        <w:t>Equity-based Payments to Non-Employees</w:t>
      </w:r>
      <w:r>
        <w:rPr>
          <w:rFonts w:ascii="Times New Roman;sans-serif" w:hAnsi="Times New Roman;sans-serif"/>
          <w:b w:val="false"/>
          <w:color w:val="000000"/>
          <w:sz w:val="20"/>
        </w:rPr>
        <w:t xml:space="preserve">. ASC 718 establishes guidance for the recognition of expenses arising from the issuance of stock-based compensation awards at their fair value at the grant date.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stock-based compensation includes grants of stock options and RSUs to employees, consultants and non-employee directors. Beginning in 2019, the Company also offered employees an opportunity to participate in an employee stock purchase plan.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estimates of the fair value of options at their grant dates are based on the Black-Scholes option valuation model and considers various variables and assumptions,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stock price at the grant date,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exercise price,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both the contractual and estimated expected term of the option,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 estimate of stock price volatility based on that of an industry peer group,</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expected dividends, if any,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risk-free interest rate.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estimates of the fair value of RSUs at their grant or valuation dates vary based on whether the awards' vesting conditions are based on market conditions or service conditions. For awards with the vesting based on market conditions, the Company uses a Monte Carlo simulation that considers various variables and assumptions,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simulated 30-day average at the end of the requisite service period,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discount period based on the vesting term of the awards,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 estimate of stock price volatility based on that of an industry peer group,</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expected dividends, if any,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risk-free interest rate.</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assumptions require estimates and judgements and changes in those inputs could impact the amount of expenses that are charged to earnings. The Company recognizes compensation expense for the fair value of RSUs and stock option awards over the requisite service period of the awards. All excess tax benefits, taxes and tax deficiencies from stock-based compensation are included in the provision for income taxes in the Company's Statements of Operations and Comprehensive Loss. As part of the Company’s share-based compensation plan, shares are withheld to satisfy tax withholding obligations upon the vesting of RSUs. During the years ended December 31, 2024 and 2023, the fair value of the shares withheld was $1,351 and $11, respectively, and was recorded a reduction of Additional paid-in capital in the Statements of Changes in Stockholders’ Deficit and as a financing activity in the Statements of Cash Flows. The portion of shares yet to be remitted as of 12/31/24 was $250 and is disclosed as a non-cash financing activity in the Statements of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06705"/>
                <wp:effectExtent l="0" t="0" r="0" b="0"/>
                <wp:wrapNone/>
                <wp:docPr id="101" name="Frame9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Per Share Data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computed by dividing the net loss attributable to common stockholders by the weighted average number of shares of Common Stock outstanding during the period.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 is calculated by dividing net income available to common stockholders as adjusted for the effect of dilutive securities, if any, by the weighted average number of shares of Common Stock and dilutive Common Stock outstanding during the period. Potentially dilutive common shares include the shares of Common Stock issuable upon the exercise of outstanding stock options and warrants, the shares of issued but unvested RSUs and the purchase of shares from the Company’s employee stock purchase plan (using the treasury stock method). For all periods presented, potential common shares have been excluded from the calculation of EPS because their effect would be anti-dilutive.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includes net loss as well as other changes in stockholders’ deficit that may result from transactions and economic events other than those with stockholders, such as unrealized gains or losses on investments. For the periods ended December 31, 2024 and 2023, the Company’s comprehensive loss included only its net loss.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1 — Quoted prices in active markets for identical assets or liabilities. Cash and cash equivalents consisted of cash in bank accounts and money market Treasury mutual funds which are all Level 1 assets.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The Company currently has no Level 2 assets or liabilities.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Level 3 — 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balance sheets for trade and other receivables, prepaid and other current assets, accounts payable, accrued expenses and deferred revenue approximate fair value based on the short-term maturity of these assets and liabilities.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previously granted warrants to certain holders of the Company’s the 12.5% Notes in connection with its debt repayment and debt refinancing. The Company also issued pre-funded warrants and warrants in 2022 and warrants in 2023 to purchase shares of Common Stock to certain purchasers in connection with the Securities Purchase Agreements. The warrants were valued based on the Black-Scholes valuation model performed by an independent third-party appraisal prepared as of the grant date consistent with generally-accepted valuation methods of the Uniform Standards of Professional Appraisal Practice, the American Society of Appraisers and the American Institute of Certified Public Accountants’ Accounting and Valuation Guide, </w:t>
      </w:r>
      <w:r>
        <w:rPr>
          <w:rFonts w:ascii="Times New Roman;sans-serif" w:hAnsi="Times New Roman;sans-serif"/>
          <w:b w:val="false"/>
          <w:i/>
          <w:color w:val="000000"/>
          <w:sz w:val="20"/>
        </w:rPr>
        <w:t>Valuation of Privately-Held Company Equity Securities Issued as Compensation.</w:t>
      </w:r>
      <w:r>
        <w:rPr>
          <w:color w:val="000000"/>
        </w:rPr>
        <w:t xml:space="preserve"> </w:t>
      </w:r>
      <w:r>
        <w:rPr>
          <w:rFonts w:ascii="Times New Roman;sans-serif" w:hAnsi="Times New Roman;sans-serif"/>
          <w:b w:val="false"/>
          <w:color w:val="000000"/>
          <w:sz w:val="20"/>
        </w:rPr>
        <w:t xml:space="preserve">See Note 16, </w:t>
      </w:r>
      <w:r>
        <w:rPr>
          <w:rFonts w:ascii="Times New Roman;sans-serif" w:hAnsi="Times New Roman;sans-serif"/>
          <w:b w:val="false"/>
          <w:i/>
          <w:color w:val="000000"/>
          <w:sz w:val="20"/>
        </w:rPr>
        <w:t>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Company's 12.5% Notes contained a repurchase offer or put option which gave holders of the option the right, but not the obligation, to receive a specified amount of future royalties up to a capped amount. This put option was valued based on Level 3 inputs and its fair value was based primarily on an independent third-party appraisal consistent with generally-accepted valuation methods of the Uniform Standards of Professional Appraisal Practice, the American Society of Appraisers and the American Institute of Certified Public Accountants Accounting and Valuation Guide. See Note 15,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13.5% Notes on November 1, 2023, the Company and the Note Holders entered into the Royalty Right Agreements. The Royalty Right Agreements were valued based on Level 3 inputs, and their fair value is estimated by applying probability-weighted cash flows for future sales, which are then discounted to present value. Changes to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 During 2024 and 2023, there were no material changes to the significant unobservable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06705"/>
                <wp:effectExtent l="0" t="0" r="0" b="0"/>
                <wp:wrapNone/>
                <wp:docPr id="102" name="Frame10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 xml:space="preserve">inputs used to recognize the Royalty Right Agreements liability. Management has updated the projected years of payments to 2034 and the effective interest rate by 0.56%. See Note 15,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Operating segments are defined as components of an entity about which separate discrete information is available for evaluation by the chief operating decision maker, or decision-making group, in deciding how to allocate resources and in assessing performance. The Company manages its operations as a single segment for purposes of assessing performance and making operating decisions. For additional information regarding the adoption of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 xml:space="preserve">see Note 5, </w:t>
      </w:r>
      <w:r>
        <w:rPr>
          <w:rFonts w:ascii="Times New Roman;sans-serif" w:hAnsi="Times New Roman;sans-serif"/>
          <w:b w:val="false"/>
          <w:i/>
          <w:color w:val="000000"/>
          <w:sz w:val="20"/>
        </w:rPr>
        <w:t>Segment Reporting.</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complies with new or revised accounting standards by the relevant dates on which adoption of such standards is required for smaller reporting companies.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ASU 2023-0</w:t>
      </w:r>
      <w:r>
        <w:rPr>
          <w:rFonts w:ascii="Times New Roman;sans-serif" w:hAnsi="Times New Roman;sans-serif"/>
          <w:b w:val="false"/>
          <w:i/>
          <w:color w:val="000000"/>
          <w:sz w:val="20"/>
        </w:rPr>
        <w:t>7</w:t>
      </w:r>
      <w:r>
        <w:rPr>
          <w:rFonts w:ascii="Times New Roman;sans-serif" w:hAnsi="Times New Roman;sans-serif"/>
          <w:b w:val="false"/>
          <w:color w:val="000000"/>
          <w:sz w:val="20"/>
        </w:rPr>
        <w:t>,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adopted the new disclosure requirements as of and for the years ended December 31, 2024 and December 31, 2023. Refer to Note 5,</w:t>
      </w:r>
      <w:r>
        <w:rPr>
          <w:color w:val="000000"/>
        </w:rPr>
        <w:t xml:space="preserve">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for the required disclosure.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August 2020, the FASB issued ASU 2020-06, </w:t>
      </w:r>
      <w:r>
        <w:rPr>
          <w:rFonts w:ascii="Times New Roman;sans-serif" w:hAnsi="Times New Roman;sans-serif"/>
          <w:b w:val="false"/>
          <w:i/>
          <w:color w:val="000000"/>
          <w:sz w:val="20"/>
        </w:rPr>
        <w:t>Debt-Debt with Conversion and Other Options (Subtopic 470-20) and Derivatives and Hedging-Contracts in Entity’s Own Equity (Subtopic 815-40)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Accounting for Convertible Instruments and Contracts in an Entity’s Own Equity</w:t>
      </w:r>
      <w:r>
        <w:rPr>
          <w:rFonts w:ascii="Times New Roman;sans-serif" w:hAnsi="Times New Roman;sans-serif"/>
          <w:b w:val="false"/>
          <w:color w:val="000000"/>
          <w:sz w:val="20"/>
        </w:rPr>
        <w:t xml:space="preserve">. This Accounting Standards Update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 Company adopted the new guidance on January 1, 2024. The adoption of this guidance did not have a material impact on the Company’s financial statements.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June 2022, the FASB issued ASU 2022-03, </w:t>
      </w:r>
      <w:r>
        <w:rPr>
          <w:rFonts w:ascii="Times New Roman;sans-serif" w:hAnsi="Times New Roman;sans-serif"/>
          <w:b w:val="false"/>
          <w:i/>
          <w:color w:val="000000"/>
          <w:sz w:val="20"/>
        </w:rPr>
        <w:t>Fair Value Measurement (Topic 820)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Fair Value Measurement of Equity Securities Subject to Contractual Sale Restrictions</w:t>
      </w:r>
      <w:r>
        <w:rPr>
          <w:rFonts w:ascii="Times New Roman;sans-serif" w:hAnsi="Times New Roman;sans-serif"/>
          <w:b w:val="false"/>
          <w:color w:val="000000"/>
          <w:sz w:val="20"/>
        </w:rPr>
        <w:t xml:space="preserve">. This Accounting Standards Update was issued to clarify the guidance in Topic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when measuring the fair value of an equity security subject to contractual restrictions that prohibit the sale of an equity security, and to introduce new disclosure requirements for such equity securities. The Company adopted the new guidance on January 1, 2024. The adoption of this guidance did not have a material impact on the Company’s financial statements.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Adopted as of December 31, 2024:</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 xml:space="preserve">Income Statement—Reporting Comprehensive Income—Expense Disaggregation Disclosures (Subtopic 220-40): Disaggregation of Income Statement Expenses. </w:t>
      </w:r>
      <w:r>
        <w:rPr>
          <w:rFonts w:ascii="Times New Roman;sans-serif" w:hAnsi="Times New Roman;sans-serif"/>
          <w:b w:val="false"/>
          <w:color w:val="000000"/>
          <w:sz w:val="20"/>
        </w:rPr>
        <w:t>ASU 2024-03 will require the Company to disclose the amounts of purchases of inventory, employee compensation, depreciation and intangible asset amortization, as applicable, included in certain expense captions in the Statements of Operations, and Comprehensive Loss as well as qualitatively describe the remaining amounts included in those captions. ASU 2024-03 will also require the Company to disclose both the amount and the Company’s definition of selling expenses. These disclosure requirements will be effective for the Company for fiscal years beginning after December 15, 2026, and for interim periods within fiscal years beginning after December 15, 2027. The Company is currently evaluating the impact from the adoption of ASU 2024-03 on disclosures to its financial statements.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December 2023, the FASB issued ASU 2023-09—</w:t>
      </w:r>
      <w:r>
        <w:rPr>
          <w:rFonts w:ascii="Times New Roman;sans-serif" w:hAnsi="Times New Roman;sans-serif"/>
          <w:b w:val="false"/>
          <w:i/>
          <w:color w:val="000000"/>
          <w:sz w:val="20"/>
        </w:rPr>
        <w:t xml:space="preserve">Income Taxes (Topic 740)—Improvements to Income Tax Disclosures. </w:t>
      </w:r>
      <w:r>
        <w:rPr>
          <w:rFonts w:ascii="Times New Roman;sans-serif" w:hAnsi="Times New Roman;sans-serif"/>
          <w:b w:val="false"/>
          <w:color w:val="000000"/>
          <w:sz w:val="20"/>
        </w:rPr>
        <w:t xml:space="preserve">This Accounting Standards Update was issued to enhance the transparency and decision usefulness of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06705"/>
                <wp:effectExtent l="0" t="0" r="0" b="0"/>
                <wp:wrapNone/>
                <wp:docPr id="103" name="Frame10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disclosures. The ASU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It further requires disclosure on an annual basis of the following information about income taxes paid: 1. The amount of income taxes paid (net of refunds received) disaggregated by federal (national), state, and foreign taxes 2. The amount of income taxes paid (net of refunds received) disaggregated by individual jurisdictions in which income taxes paid (net of refunds received) is equal to or greater than 5 percent of total income taxes paid (net of refunds received). Additionally, it requires the following information disclosure: 1. Income (or loss) from continuing operations before income tax expense (or benefit) disaggregated between domestic and foreign 2. Income tax expense (or benefit) from continuing operations disaggregated by federal (national), state, and foreign. The ASU eliminates certain current disclosure requirements. These disclosure requirements will be effective for the Company beginning January 1, 2025, with early adoption of the amendments permitted. The Company is currently evaluating the impact from the adoption of ASU 2023-09 on disclosures to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4.     Risks and Uncertainties</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liquidity in terms of its ability to generate cash to fund its operating, investing and financing activities. The Company’s cash requirements for 2025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December 31, 2024, the Company had $71,546 of cash and cash equivalents.</w:t>
      </w:r>
    </w:p>
    <w:p>
      <w:pPr>
        <w:pStyle w:val="TextBody"/>
        <w:bidi w:val="0"/>
        <w:spacing w:lineRule="auto" w:line="268" w:before="0" w:after="120"/>
        <w:ind w:left="0" w:right="0" w:firstLine="720"/>
        <w:jc w:val="both"/>
        <w:rPr/>
      </w:pPr>
      <w:r>
        <w:rPr>
          <w:rFonts w:ascii="Times New Roman;sans-serif" w:hAnsi="Times New Roman;sans-serif"/>
          <w:b w:val="false"/>
          <w:color w:val="000000"/>
          <w:sz w:val="20"/>
        </w:rPr>
        <w:t xml:space="preserve">The Company has experienced a history of net losses. The Company’s accumulated deficit totaled $363,214 as of December 31, 2024. The net losses and accumulated deficits were partially offset by gross margins from sales of commercialized licensed and proprietary products, license fees, milestone and royalty payments from commercial licensees and co-development parties. The Company’s funding requirements have been met by its cash and cash equivalents, as well as its existing equity and debt offerings, including the 13.5% Senior Secured Notes, as further discussed in Note 15,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the ATM facility and other equity offerings, including the underwritten public offering as discussed in Note 1, </w:t>
      </w:r>
      <w:r>
        <w:rPr>
          <w:rFonts w:ascii="Times New Roman;sans-serif" w:hAnsi="Times New Roman;sans-serif"/>
          <w:b w:val="false"/>
          <w:i/>
          <w:color w:val="000000"/>
          <w:sz w:val="20"/>
        </w:rPr>
        <w:t>Company Overview and Equity Transactions.</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Company’s ability to execute its business objectives and achieve profitability over the longer term cannot be assured, the Company’s on-going business, existing cash and cash equivalents, expense management activities, including, but not limited to the ceasing of R&amp;D activities, as well as access to the equity capital markets through its ATM facility, provide near term liquidity for the Company to fund its operating needs for at least the next twelve months as it continues to execute its business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5.     Segment Reporting</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entity for which separate discrete financial information is available for evaluation by the Chief Operating Decision Maker (“CODM”) in deciding how to allocate resources and in assessing performance. For the year ended December 31, 2024, the Company has identified one operating and reportable segment. The Company defines its operating segment based on internally reported financial information that is regularly reviewed by the CODM to analyze financial performance, make decisions, and allocate resources. The Company's Chief Executive Officer (“CEO”) is the CODM. The Company manages its operations as a single segment for purposes of assessing performance and making operating decisions. This segment encompasses the development and advancement of a product pipeline for the treatment of severe allergic reactions, including anaphylaxis, and the Adrenaverse epinephrine prodrug pipeline platform. Additionally, the Company serves as the exclusive manufacturer for its proprietary product, Libervant, and four licensed commercialized products.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CODM reviews the segment's profit or loss based on net loss reported on the Statements of Operations and Comprehensive Loss. The CODM also considers forecast-to-actual variances on a monthly basis for expenses deemed significant. Furthermore, the CODM reviews the segment's assets based on total assets reported on the Balance Sheets. All long-lived assets are held in the United States. While the Company generated $57,561 and $50,583 in revenues in 2024 and 2023, respectively, management expects the Company to continue to incur significant expenses and operating losses for the foreseeable future as it advances product candidates through all stages of development and clinical trials, ultimately seeking regulatory approval. The CODM uses cash forecast models to guide investment decisions and assess entity-wide operating results and performance. Net loss is used to monitor budget and rolling forecasts versus actual results. The CODM views specific categories within research and development expenses, selling expenses, and general and administrative expenses as significant due to their direct correlation with cash burn and profitability.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06705"/>
                <wp:effectExtent l="0" t="0" r="0" b="0"/>
                <wp:wrapNone/>
                <wp:docPr id="104" name="Frame10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reported revenues to net loss under the significant expense principle for the years ended December 31, 2024, and 2023:</w:t>
      </w:r>
    </w:p>
    <w:tbl>
      <w:tblPr>
        <w:tblW w:w="6848" w:type="dxa"/>
        <w:jc w:val="left"/>
        <w:tblInd w:w="0" w:type="dxa"/>
        <w:tblLayout w:type="fixed"/>
        <w:tblCellMar>
          <w:top w:w="28" w:type="dxa"/>
          <w:left w:w="28" w:type="dxa"/>
          <w:bottom w:w="28" w:type="dxa"/>
          <w:right w:w="28" w:type="dxa"/>
        </w:tblCellMar>
      </w:tblPr>
      <w:tblGrid>
        <w:gridCol w:w="1565"/>
        <w:gridCol w:w="1372"/>
        <w:gridCol w:w="1382"/>
        <w:gridCol w:w="211"/>
        <w:gridCol w:w="796"/>
        <w:gridCol w:w="109"/>
        <w:gridCol w:w="109"/>
        <w:gridCol w:w="109"/>
        <w:gridCol w:w="109"/>
        <w:gridCol w:w="211"/>
        <w:gridCol w:w="72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Manufacture and Supply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R&amp;D Project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Anaphylm project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AQST-108 project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Libervant project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R&amp;D other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Selling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General &amp; Administrative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4</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General and Administrative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benefits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5"/>
        <w:gridCol w:w="795"/>
        <w:gridCol w:w="795"/>
        <w:gridCol w:w="795"/>
        <w:gridCol w:w="795"/>
        <w:gridCol w:w="795"/>
        <w:gridCol w:w="795"/>
        <w:gridCol w:w="795"/>
        <w:gridCol w:w="795"/>
        <w:gridCol w:w="795"/>
        <w:gridCol w:w="795"/>
        <w:gridCol w:w="795"/>
        <w:gridCol w:w="159"/>
        <w:gridCol w:w="159"/>
        <w:gridCol w:w="237"/>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650"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 Personnel costs include payroll expenses, share-based compensation expenses and severance</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 Other Research and Development expenses include preclinical, consulting, maintenance, and testing fees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 Other Selling expenses include commercialization and other related expenses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 Other General and Administrative expenses include legal/patent fees, insurance fees, IT expenses, investor relations expenses, regulatory fees, facility and other costs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06705"/>
                <wp:effectExtent l="0" t="0" r="0" b="0"/>
                <wp:wrapNone/>
                <wp:docPr id="105" name="Frame10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 xml:space="preserve">Note 6. </w:t>
      </w:r>
      <w:r>
        <w:rPr>
          <w:color w:val="000000"/>
        </w:rPr>
        <w:t>    </w:t>
      </w:r>
      <w:r>
        <w:rPr>
          <w:rFonts w:ascii="Times New Roman;sans-serif" w:hAnsi="Times New Roman;sans-serif"/>
          <w:b/>
          <w:color w:val="000000"/>
          <w:sz w:val="20"/>
        </w:rPr>
        <w:t>Revenues and Trade Receivables, Net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 was comprised of the following:</w:t>
      </w:r>
    </w:p>
    <w:tbl>
      <w:tblPr>
        <w:tblW w:w="5349" w:type="dxa"/>
        <w:jc w:val="left"/>
        <w:tblInd w:w="0" w:type="dxa"/>
        <w:tblLayout w:type="fixed"/>
        <w:tblCellMar>
          <w:top w:w="28" w:type="dxa"/>
          <w:left w:w="28" w:type="dxa"/>
          <w:bottom w:w="28" w:type="dxa"/>
          <w:right w:w="28" w:type="dxa"/>
        </w:tblCellMar>
      </w:tblPr>
      <w:tblGrid>
        <w:gridCol w:w="1049"/>
        <w:gridCol w:w="922"/>
        <w:gridCol w:w="924"/>
        <w:gridCol w:w="211"/>
        <w:gridCol w:w="721"/>
        <w:gridCol w:w="109"/>
        <w:gridCol w:w="109"/>
        <w:gridCol w:w="109"/>
        <w:gridCol w:w="109"/>
        <w:gridCol w:w="211"/>
        <w:gridCol w:w="72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product revenue,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disaggregated net revenue by geographic area:</w:t>
      </w:r>
    </w:p>
    <w:tbl>
      <w:tblPr>
        <w:tblW w:w="3939" w:type="dxa"/>
        <w:jc w:val="left"/>
        <w:tblInd w:w="0" w:type="dxa"/>
        <w:tblLayout w:type="fixed"/>
        <w:tblCellMar>
          <w:top w:w="28" w:type="dxa"/>
          <w:left w:w="28" w:type="dxa"/>
          <w:bottom w:w="28" w:type="dxa"/>
          <w:right w:w="28" w:type="dxa"/>
        </w:tblCellMar>
      </w:tblPr>
      <w:tblGrid>
        <w:gridCol w:w="539"/>
        <w:gridCol w:w="472"/>
        <w:gridCol w:w="474"/>
        <w:gridCol w:w="211"/>
        <w:gridCol w:w="721"/>
        <w:gridCol w:w="109"/>
        <w:gridCol w:w="109"/>
        <w:gridCol w:w="109"/>
        <w:gridCol w:w="109"/>
        <w:gridCol w:w="211"/>
        <w:gridCol w:w="721"/>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United States revenues were derived primarily from Indivior (manufacture and supply revenue, and co-development and research fees), MTPA (license and royalty revenue that was previously recorded as deferred revenue and now recognized due to the termination of the contract), and Assertio (manufacture and supply revenue, license and royalty revenue and co-development and research fees). Ex-United States revenues were derived primarily from Haisco (license and royalty revenue that was previously recorded as deferred revenue and now recognized due to the termination of the contract), Indivior (manufacture and supply revenue, license and royalty revenue and co-development and research fees), and Hypera (manufacture and supply revenue, license and royalty revenue and co-development and research fees) for revenue markets outside of the United States.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United States revenues were derived primarily from Indivior (manufacture and supply revenue, and co-development and research fees), Assertio (manufacture and supply revenue, and license and royalty revenue), and Zevra (license and royalty revenue). Ex-United States revenues were derived primarily from Indivior (manufacture and supply revenue, license and royalty revenue and co-development and research fees) and Hypera (manufacture and supply revenue and license and royalty revenue) for revenue markets outside of the United States.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 net consist of the following:</w:t>
      </w:r>
    </w:p>
    <w:tbl>
      <w:tblPr>
        <w:tblW w:w="4958" w:type="dxa"/>
        <w:jc w:val="left"/>
        <w:tblInd w:w="0" w:type="dxa"/>
        <w:tblLayout w:type="fixed"/>
        <w:tblCellMar>
          <w:top w:w="28" w:type="dxa"/>
          <w:left w:w="28" w:type="dxa"/>
          <w:bottom w:w="28" w:type="dxa"/>
          <w:right w:w="28" w:type="dxa"/>
        </w:tblCellMar>
      </w:tblPr>
      <w:tblGrid>
        <w:gridCol w:w="983"/>
        <w:gridCol w:w="865"/>
        <w:gridCol w:w="866"/>
        <w:gridCol w:w="211"/>
        <w:gridCol w:w="616"/>
        <w:gridCol w:w="109"/>
        <w:gridCol w:w="109"/>
        <w:gridCol w:w="109"/>
        <w:gridCol w:w="109"/>
        <w:gridCol w:w="211"/>
        <w:gridCol w:w="61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and other receivables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sales-related allowances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and other receivables totaled $2,473 and $2,915 as of December 31, 2024 and 2023, respectively, consisting primarily of contract assets and other receivables. Contract assets consist of products and services provided under specific contracts to customers for which earnings processes have been met prior to shipment of goods or full delivery of completed services, as well as estimated receivables from contracts with third parties. Other receivables include the current portion related to the Monetization royalty receivable and other receivables. Sales-related allowances as of December 31, 2024 were estimated in relation to revenues recognized for sales of Libervant for patients between two to five years of 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06705"/>
                <wp:effectExtent l="0" t="0" r="0" b="0"/>
                <wp:wrapNone/>
                <wp:docPr id="106" name="Frame10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allowance for credit losses:</w:t>
      </w:r>
    </w:p>
    <w:tbl>
      <w:tblPr>
        <w:tblW w:w="4719" w:type="dxa"/>
        <w:jc w:val="left"/>
        <w:tblInd w:w="0" w:type="dxa"/>
        <w:tblLayout w:type="fixed"/>
        <w:tblCellMar>
          <w:top w:w="28" w:type="dxa"/>
          <w:left w:w="28" w:type="dxa"/>
          <w:bottom w:w="28" w:type="dxa"/>
          <w:right w:w="28" w:type="dxa"/>
        </w:tblCellMar>
      </w:tblPr>
      <w:tblGrid>
        <w:gridCol w:w="1065"/>
        <w:gridCol w:w="936"/>
        <w:gridCol w:w="939"/>
        <w:gridCol w:w="211"/>
        <w:gridCol w:w="406"/>
        <w:gridCol w:w="109"/>
        <w:gridCol w:w="109"/>
        <w:gridCol w:w="109"/>
        <w:gridCol w:w="109"/>
        <w:gridCol w:w="211"/>
        <w:gridCol w:w="361"/>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reduction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Sales-Related Allowances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sales of products are recorded net of prompt payment discounts, wholesaler service fees, returns allowances,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changes in sales-related allowances: </w:t>
      </w:r>
    </w:p>
    <w:tbl>
      <w:tblPr>
        <w:tblW w:w="4598" w:type="dxa"/>
        <w:jc w:val="left"/>
        <w:tblInd w:w="0" w:type="dxa"/>
        <w:tblLayout w:type="fixed"/>
        <w:tblCellMar>
          <w:top w:w="28" w:type="dxa"/>
          <w:left w:w="28" w:type="dxa"/>
          <w:bottom w:w="28" w:type="dxa"/>
          <w:right w:w="28" w:type="dxa"/>
        </w:tblCellMar>
      </w:tblPr>
      <w:tblGrid>
        <w:gridCol w:w="956"/>
        <w:gridCol w:w="840"/>
        <w:gridCol w:w="843"/>
        <w:gridCol w:w="211"/>
        <w:gridCol w:w="406"/>
        <w:gridCol w:w="109"/>
        <w:gridCol w:w="109"/>
        <w:gridCol w:w="109"/>
        <w:gridCol w:w="109"/>
        <w:gridCol w:w="211"/>
        <w:gridCol w:w="54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 credits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Accruals for returns allowances and prompt pay discounts are reflected as a direct reduction of trade receivables, and accruals for wholesaler service fees, co-pay support redemptions and other rebates are reflected as current liabilities. The accrued balances relative to these provisions included in Trade and other receivables, net and accrued expenses were $48 and $665, respectively, as of December 31, 2024, and $0 and $645, respectively, as of December 31, 2023. See Note 14, </w:t>
      </w:r>
      <w:r>
        <w:rPr>
          <w:rFonts w:ascii="Times New Roman;sans-serif" w:hAnsi="Times New Roman;sans-serif"/>
          <w:b w:val="false"/>
          <w:i/>
          <w:color w:val="000000"/>
          <w:sz w:val="20"/>
        </w:rPr>
        <w:t>Accrued Expenses</w:t>
      </w:r>
      <w:r>
        <w:rPr>
          <w:rFonts w:ascii="Times New Roman;sans-serif" w:hAnsi="Times New Roman;sans-serif"/>
          <w:b w:val="false"/>
          <w:color w:val="000000"/>
          <w:sz w:val="20"/>
        </w:rPr>
        <w:t>.</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Concentration of Major Customers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Customers are considered major customers when net revenue exceeds 10% of total revenue for the period or outstanding receivable balances exceed 10% of total receivables. For the year ended December 31, 2024, Indivor and Haisco represented approximately 62% and 12% of total revenue, including the one-time recognition of deferred revenue for Haisco, respectively. As of December 31, 2024, Indivor and Cosmed exceeded the 10% threshold for outstanding receivable balances and represented 41% and 16%, respectively, of total trade and other receivables. For the year ended December 31, 2023, Indivor represented approximately 80% of total revenue. As of December 31, 2023, Indivor and Zevra Therapeutics, Inc. exceeded the 10% threshold for outstanding receivable balances and represented 65% and 13%, respectively of total trade and other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7.     Material Agreements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Commercial Exploitation Agreement with Indivior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2008, the Company entered into the Indivior License Agreement (with subsequent amendments) with Reckitt Benckiser Pharmaceuticals, Inc. who was later succeeded to in interest by Indivior. Pursuant to the Indivior License Agreement, the Company agreed to manufacture and supply Indivior’s requirements for Suboxone, a sublingual film formulation, both inside and outside the United States on an exclusive basis.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adjustments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06705"/>
                <wp:effectExtent l="0" t="0" r="0" b="0"/>
                <wp:wrapNone/>
                <wp:docPr id="107" name="Frame10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one-year periods.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March 2, 2023, the Company and Indivior entered into the Indivior Amendment to the Indivior License Agreement. The Indivior Amendment was entered into for the primary purpose of amending the Agreement as follows: (i) extending the term of the Agreement until August 16, 2026 and thereafter providing for automatic renewal terms of successive one 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covered under the Indivior License Agreement; and (ii) agreeing to transfer pricing and payment terms for supplied product under the Indivior License Agreement. During the year ended December 31, 2023, in consideration of the agreements between the parties, the Company received a payment of $11,482 from Indivior, of which amount $5,482 represented: (a) payment of the portion of a 2022 price increase that had not been previously paid and (b) an estimated payment in 2023 for certain price increases. During the year ended December 31, 2023, the Company recognized $5,482, of which $1,682 was related to the 2022 price increases, in Manufacture and supply revenue and $6,000 in Interest income and other income, net on the Statements of Operations and Comprehensive Loss. There were no retroactive price adjustments included in Manufacture and supply revenue for year ended December 31, 2024.</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Supplemental Agreement with Indivior</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On September 24, 2017, the Company entered into an agreement with Indivior, 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was entitled to receive certain payments from Indivior commencing on the date of the Indivior Supplemental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were suspended until adjudication of related patent infringement litigation was finalized. No further payments are due to the Company under the Indivior Supplemental Agreement. See Note 23, </w:t>
      </w:r>
      <w:r>
        <w:rPr>
          <w:rFonts w:ascii="Times New Roman;sans-serif" w:hAnsi="Times New Roman;sans-serif"/>
          <w:b w:val="false"/>
          <w:i/>
          <w:color w:val="000000"/>
          <w:sz w:val="20"/>
        </w:rPr>
        <w:t>Contingencies</w:t>
      </w:r>
      <w:r>
        <w:rPr>
          <w:color w:val="000000"/>
        </w:rPr>
        <w:t xml:space="preserve"> </w:t>
      </w:r>
      <w:r>
        <w:rPr>
          <w:rFonts w:ascii="Times New Roman;sans-serif" w:hAnsi="Times New Roman;sans-serif"/>
          <w:b w:val="false"/>
          <w:color w:val="000000"/>
          <w:sz w:val="20"/>
        </w:rPr>
        <w:t>for details.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payments made by Indivior to the Company pursuant to the Indivior Supplemental Agreement were in addition to, and not in place of, any amounts owed by Indivior to the Company pursuant to the Indivior License Agreement. </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License Agreement with Sunovion Pharmaceuticals, Inc.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2016, the Company entered into a license agreement with Cynapsus Therapeutics Inc. (which was later succeeded to in interest by Sunovion),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FDA on May 21, 2020. This approval triggered Sunovion’s obligation to remit a payment of $4,000, due on the earlier of: (a) the first day of product availability at a pharmacy in the United States; or (b) within six months of FDA approval of the product. This amount was received as of September 30, 2020 and was included in License and royalty revenues for the twelve months ended December 31, 2020.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March 16, 2020, the Company entered into the First Amendment to the Sunovion License Agreement. The Amendment was entered into for the primary purpose of amending the Sunovion License Agreement as follows: (i) including the United Kingdom and any other country currently in the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06705"/>
                <wp:effectExtent l="0" t="0" r="0" b="0"/>
                <wp:wrapNone/>
                <wp:docPr id="108" name="Frame10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minimum annual royalty due from Sunovion to the Company form January 1, 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Amendment to the Sunovion License Agreement.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pStyle w:val="TextBody"/>
        <w:bidi w:val="0"/>
        <w:spacing w:lineRule="auto" w:line="288" w:before="0" w:after="120"/>
        <w:jc w:val="both"/>
        <w:rPr/>
      </w:pPr>
      <w:r>
        <w:rPr>
          <w:rFonts w:ascii="Times New Roman;sans-serif" w:hAnsi="Times New Roman;sans-serif"/>
          <w:b/>
          <w:i/>
          <w:color w:val="000000"/>
          <w:sz w:val="20"/>
        </w:rPr>
        <w:t>Purchase and Sale Agreement with an affiliate of Marathon</w:t>
      </w:r>
      <w:r>
        <w:rPr>
          <w:color w:val="000000"/>
        </w:rPr>
        <w:t xml:space="preserv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the Company entered into the Monetization Agreement with Marathon. Under the terms of the Monetization Agreement, the Company sold to Marathon all of its contractual rights to receive royalties and milestone payments due under the Sunovion License Agreement related to Sunovion’s apomorphine product, KYNMOBI. In exchange for the sale of these rights, the Company received an upfront payment from Marathon of $40,000 and an additional payment of $10,000 through the achievement of the first milestone. The Company has received an aggregate amount of $50,000 through December 31, 2024 under the Monetization Agreement.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In June 2023, Sunovion announced that it has voluntarily withdrawn KYNMOBI from the U.S. and Canadian markets, therefore, the Company likely will not receive any of the additional contingent payments under the Monetization agreement. See Note 17,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for further details on the accounting for the Monetization Agreement.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Agreement to Terminate CLA with Zevra Therapeutics, Inc. (formerly KemPharm)</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March 2012, the Company entered into an agreement with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Licensing and Supply Agreement with Haisco for Exservan™ (Riluzole Oral Film) for ALS Treatment in China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the Haisco Agreement with Haisco, a Chinese limited company listed on the Shenzhen Stock Exchange, effective as of March 3, 2022, pursuant to which Aquestive granted Haisco an exclusive license to develop and commercialize Exservan (riluzole oral film) for the treatment of ALS in China. Under the terms of the Haisco Agreement, Aquestive was the exclusive sole manufacturer and supplier for Exservan in China. Under the Haisco Agreement, as amended, the Company received a $7,000 upfront cash payment in September 2022, and was entitled to receive regulatory milestone payments and double-digit royalties on net sales of Exservan in China, and earn manufacturing revenue upon the sale of Exservan in China. In June 2024, the Haisco Agreement was terminated, and the Company will not receive any contingent payments under the Haisco Agreement. The Company recognized previously deferred revenue of $7,000 for the upfront payment received in September 2022 on the Company's Statements of Operations and Comprehensive Loss for the year ended December 31, 2024. The termination agreement released all parties from any existing or ongoing obligations. Commissions of $134 that had been capitalized were expensed immediately in Selling, general, and administrative expenses on the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06705"/>
                <wp:effectExtent l="0" t="0" r="0" b="0"/>
                <wp:wrapNone/>
                <wp:docPr id="109" name="Frame10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Compensatory Arrangements of Certain Officers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2022, the Company announced that Keith J. Kendall, former President and Chief Executive Officer of the Company, was leaving the Company and the Company’s Board of Directors, effective May 17, 2022. In connection with his departure, Mr. Kendall and the Company entered into a Separation Agreement, including a Consulting Agreement, dated as of May 17, 2022. Under the Separation Agreement, in addition to other severance benefits already received by Mr. Kendall in 2022, Mr. Kendall received a monthly severance payment for eighteen months following the Termination Date, or November 22, 2023. By the end of December 31, 2023, all payments due to Mr. Kendall were made.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Licensing and Supply Agreement with Atnahs Pharma UK Limited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the Pharmanovia Agreement, effective as of September 26, 2022, pursuant to which the Company granted Pharmanovia an exclusive license to certain of the Company’s intellectual property to develop and commercialize Libervant (diazepam) Buccal Film for the treatment of prolonged or acute, convulsive seizures in all ages in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March 27, 2023, the Company amended the Pharmanovia Agreement to expand the scope of territory for the license of Libervant to cover the rest of the world, excluding the U.S., Canada and China. Under the Pharmanovia Amendment, Pharmanovia will be responsible for seeking applicable regulatory approval in the expanded territories, which include Latin America, Africa and Asia Pacific. Pursuant to the terms of the Pharmanovia Amendment, the Company received a non-refundable payment of $2,000 from Pharmanovia in connection with the execution of the Pharmanovia Amendment.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Licensing Agreement with Assertio Holdings, Inc.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October 26, 2022, the Company entered into the Assertio Agreement to license Sympazan (clobazam) oral film for the adjunctive treatment of seizures associated with Lennox‐Gastaut syndrome in patients aged two years of age and older. Under the terms of the Assertio Agreement, the Company granted to Assertio an exclusive, worldwide license of its intellectual property for Sympazan to Assertio during the term of the Assertio License Agreement for an upfront payment of $9,000. In addition, Aquestive received a $6,000 milestone payment subsequent to Aquestive’s receipt of a notice of allowance from the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Licensing Agreement with Mitsubishi Tanabe Pharma America, Inc.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announced that Aquestive granted an exclusive license to MTPA for the commercialization of Exservan in the United States.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under the Second Amendment to the License and Supply Agreement, MTPA and the Company mutually agreed to terminate the agreement. As of June 30, 2024 and as part of the termination, the parties were released from any existing or ongoing obligations (except for certain limited non-material post-termination obligations). Upon termination, previously deferred revenue of $3,317 was recognized in the Statements of Operations and Comprehensive Loss for the year ended December 31, 2024 for milestone payments that had been received. Commissions of $57 that had been capitalized were expensed immediately in Selling, general, and administrative expenses on the Statements of Operations and Comprehensive Loss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8.    Financial Instruments – Fair Value Measurements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1 — Observable quoted prices in active markets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06705"/>
                <wp:effectExtent l="0" t="0" r="0" b="0"/>
                <wp:wrapNone/>
                <wp:docPr id="110" name="Frame10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2 — Observable prices that are based on inputs not quoted on active markets but corroborated by market data.</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3 — Unobservable inputs that are supported by little or no market activity, such as pricing models, discounted cash flow methodologies and similar techniques.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The Company granted warrants to certain noteholders in connection with its debt repayment and debt refinancing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16</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Company’s 12.5% Senior Secured Notes contained a repurchase offer or put option which gives holders of the option the right, but not the obligation, to require the Company to redeem the 12.5% Notes up to a capped portion of milestone payments resulting from the Monetization Agreement. This put option was valued based on Level 3 inputs and its fair value was based primarily on an independent third-party appraisal consistent with generally accepted valuation methods of the Uniform Standards of Professional Appraisal Practice, the American Society of Appraisers and the American Institute of Certified Public Accountants Accounting and Valuation Guide. See Note 15,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16</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On August 1, 2023, the Company entered into the Letter Agreement with the Exercising Holder of the remaining warrants to purchase 5,000,000 of the shares of Common Stock.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New Warrants at $2.60 per share.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16</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in connection with the issuance of the 13.5% Notes, the Company and the Note Holders entered into the Royalty Right Agreements dated as of November 1, 2023, which provides the Note Holders: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tiered royalty between 1.0% and 2.0% of annual worldwide net sales of Anaphylm (epinephrine) Sublingual Film for a period of eight years from the first sale of Anaphylm on a global basis,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Those Royalty Agreements were valued based on Level 3 inputs and their fair value was based primarily on internal management estimates developed based on third-party data and reflect management’s judgements, current market conditions, and forecasts. The initial fair value measurement of the Royalty Right Agreements was determined based on significant unobservable inputs, including the discount rate, estimated probabilities of success, and the estimated amount of future sales of Anaphylm and Libervant. See Note 15,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06705"/>
                <wp:effectExtent l="0" t="0" r="0" b="0"/>
                <wp:wrapNone/>
                <wp:docPr id="111" name="Frame10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9.     Inventories, Net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w:t>
      </w:r>
    </w:p>
    <w:tbl>
      <w:tblPr>
        <w:tblW w:w="3924" w:type="dxa"/>
        <w:jc w:val="left"/>
        <w:tblInd w:w="0" w:type="dxa"/>
        <w:tblLayout w:type="fixed"/>
        <w:tblCellMar>
          <w:top w:w="28" w:type="dxa"/>
          <w:left w:w="28" w:type="dxa"/>
          <w:bottom w:w="28" w:type="dxa"/>
          <w:right w:w="28" w:type="dxa"/>
        </w:tblCellMar>
      </w:tblPr>
      <w:tblGrid>
        <w:gridCol w:w="609"/>
        <w:gridCol w:w="533"/>
        <w:gridCol w:w="538"/>
        <w:gridCol w:w="211"/>
        <w:gridCol w:w="616"/>
        <w:gridCol w:w="109"/>
        <w:gridCol w:w="109"/>
        <w:gridCol w:w="109"/>
        <w:gridCol w:w="109"/>
        <w:gridCol w:w="211"/>
        <w:gridCol w:w="616"/>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material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10. Property and Equipment, Net</w:t>
      </w:r>
    </w:p>
    <w:tbl>
      <w:tblPr>
        <w:tblW w:w="8425" w:type="dxa"/>
        <w:jc w:val="left"/>
        <w:tblInd w:w="0" w:type="dxa"/>
        <w:tblLayout w:type="fixed"/>
        <w:tblCellMar>
          <w:top w:w="28" w:type="dxa"/>
          <w:left w:w="28" w:type="dxa"/>
          <w:bottom w:w="28" w:type="dxa"/>
          <w:right w:w="28" w:type="dxa"/>
        </w:tblCellMar>
      </w:tblPr>
      <w:tblGrid>
        <w:gridCol w:w="1487"/>
        <w:gridCol w:w="1307"/>
        <w:gridCol w:w="1315"/>
        <w:gridCol w:w="126"/>
        <w:gridCol w:w="126"/>
        <w:gridCol w:w="126"/>
        <w:gridCol w:w="126"/>
        <w:gridCol w:w="126"/>
        <w:gridCol w:w="126"/>
        <w:gridCol w:w="259"/>
        <w:gridCol w:w="259"/>
        <w:gridCol w:w="261"/>
        <w:gridCol w:w="109"/>
        <w:gridCol w:w="109"/>
        <w:gridCol w:w="109"/>
        <w:gridCol w:w="211"/>
        <w:gridCol w:w="721"/>
        <w:gridCol w:w="109"/>
        <w:gridCol w:w="109"/>
        <w:gridCol w:w="109"/>
        <w:gridCol w:w="109"/>
        <w:gridCol w:w="211"/>
        <w:gridCol w:w="721"/>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w:t>
            </w:r>
          </w:p>
        </w:tc>
        <w:tc>
          <w:tcPr>
            <w:tcW w:w="37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53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network equipment and software</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47,063 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(a)Leasehold improvements are amortized over the shorter of the lease term or their estimated useful lives.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depreciation and amortization related to property and equipment was $640 and $1,153 for the years ended December 31, 2024 and 2023, respectively. No impairment losses were recognized for the year ended December 31, 2024. For the year ended December 31, 2023, the Company recognized a $216 impairment of an asset held in Construction in progress account that was assessed by management as no longer usable. Such impairment charge is included in the Manufacture and supply expenses on the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11.    Right-of-Use Assets and Lease Obligations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all realty used at its production and warehouse facilities, corporate headquarters, commercialization operations center and research and laboratory facilities. None of these three leases include the characteristics specified in ASC 842, Leases, that require classification as financing leases and, accordingly, these leases are accounted for as operating leases. These leases, as amended, provide remaining terms between 3.3 years and 8.8 years, including renewal options expected to be exercised to extend the lease periods. See Part II, Properties for details.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recognized a lease supporting its manufacturing facilities as a finance lease. Commitments under finance leases are not significant, and are included in Property and equipment, net, and Notes Payable, net on the Balance Sheets.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recognize a right-to-use asset and lease liability for short-term leases, which have terms of 12 months or less on its Balance Sheets. For longer-term lease arrangements that are recognized on the Company's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financial results.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including expected renewals, based on the incremental borrowing rate experienced in the Company’s collateralized debt refinancing.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costs are recorded in manufacture and supply, research and development and selling, general and administrative expenses in its Statements of Operations and Comprehensive Loss. For the years ended December 31, 2024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06705"/>
                <wp:effectExtent l="0" t="0" r="0" b="0"/>
                <wp:wrapNone/>
                <wp:docPr id="112" name="Frame1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2023, total operating lease expenses totaled $1,814 and $1,745, respectively, including variable lease expenses such as common area maintenance and operating costs of $487 and $447, respectively.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payments due under its operating leases are as follows: </w:t>
      </w:r>
    </w:p>
    <w:tbl>
      <w:tblPr>
        <w:tblW w:w="3636" w:type="dxa"/>
        <w:jc w:val="left"/>
        <w:tblInd w:w="0" w:type="dxa"/>
        <w:tblLayout w:type="fixed"/>
        <w:tblCellMar>
          <w:top w:w="28" w:type="dxa"/>
          <w:left w:w="28" w:type="dxa"/>
          <w:bottom w:w="28" w:type="dxa"/>
          <w:right w:w="28" w:type="dxa"/>
        </w:tblCellMar>
      </w:tblPr>
      <w:tblGrid>
        <w:gridCol w:w="959"/>
        <w:gridCol w:w="842"/>
        <w:gridCol w:w="854"/>
        <w:gridCol w:w="211"/>
        <w:gridCol w:w="616"/>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12.     Intangible Assets, Net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identifiable intangible assets, all of which are finite lived.</w:t>
      </w:r>
    </w:p>
    <w:tbl>
      <w:tblPr>
        <w:tblW w:w="4943" w:type="dxa"/>
        <w:jc w:val="left"/>
        <w:tblInd w:w="0" w:type="dxa"/>
        <w:tblLayout w:type="fixed"/>
        <w:tblCellMar>
          <w:top w:w="28" w:type="dxa"/>
          <w:left w:w="28" w:type="dxa"/>
          <w:bottom w:w="28" w:type="dxa"/>
          <w:right w:w="28" w:type="dxa"/>
        </w:tblCellMar>
      </w:tblPr>
      <w:tblGrid>
        <w:gridCol w:w="978"/>
        <w:gridCol w:w="860"/>
        <w:gridCol w:w="861"/>
        <w:gridCol w:w="211"/>
        <w:gridCol w:w="616"/>
        <w:gridCol w:w="109"/>
        <w:gridCol w:w="109"/>
        <w:gridCol w:w="109"/>
        <w:gridCol w:w="109"/>
        <w:gridCol w:w="211"/>
        <w:gridCol w:w="61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intangible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patent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$78 and $157 for each of the years ended December 31, 2024 and 2023, respectively.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June 2024, in connection with a termination of an agreement, the Company recorded a gain on termination of the contract in the amount of $1,500, which was partially offset by an adjustment to the remaining balance of $1,200 of the intangible asset. The net gain of $300 was recorded within Other income, net on the Statements of Operations and Comprehensive Loss for the year ended December 31, 2024. See Note 7, </w:t>
      </w:r>
      <w:r>
        <w:rPr>
          <w:rFonts w:ascii="Times New Roman;sans-serif" w:hAnsi="Times New Roman;sans-serif"/>
          <w:b w:val="false"/>
          <w:i/>
          <w:color w:val="000000"/>
          <w:sz w:val="20"/>
        </w:rPr>
        <w:t>Material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13.    Other Non-Current Assets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other non-current assets:</w:t>
      </w:r>
    </w:p>
    <w:tbl>
      <w:tblPr>
        <w:tblW w:w="4764" w:type="dxa"/>
        <w:jc w:val="left"/>
        <w:tblInd w:w="0" w:type="dxa"/>
        <w:tblLayout w:type="fixed"/>
        <w:tblCellMar>
          <w:top w:w="28" w:type="dxa"/>
          <w:left w:w="28" w:type="dxa"/>
          <w:bottom w:w="28" w:type="dxa"/>
          <w:right w:w="28" w:type="dxa"/>
        </w:tblCellMar>
      </w:tblPr>
      <w:tblGrid>
        <w:gridCol w:w="913"/>
        <w:gridCol w:w="802"/>
        <w:gridCol w:w="805"/>
        <w:gridCol w:w="211"/>
        <w:gridCol w:w="616"/>
        <w:gridCol w:w="109"/>
        <w:gridCol w:w="109"/>
        <w:gridCol w:w="109"/>
        <w:gridCol w:w="109"/>
        <w:gridCol w:w="211"/>
        <w:gridCol w:w="616"/>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During the second quarter of 2020, under the Sunovion License Agreement, the Company recognized $8,000 of royalty revenue and corresponding royalty receivable, related to the eight $1,000 annual minimum guaranteed royalty payments that are due to the Company. In connection with the Monetization Agreement, the Company performed an assessment under ASC 860, </w:t>
      </w:r>
      <w:r>
        <w:rPr>
          <w:rFonts w:ascii="Times New Roman;sans-serif" w:hAnsi="Times New Roman;sans-serif"/>
          <w:b w:val="false"/>
          <w:i/>
          <w:color w:val="000000"/>
          <w:sz w:val="20"/>
        </w:rPr>
        <w:t>Transfer and Servicing</w:t>
      </w:r>
      <w:r>
        <w:rPr>
          <w:color w:val="000000"/>
        </w:rPr>
        <w:t xml:space="preserve"> </w:t>
      </w:r>
      <w:r>
        <w:rPr>
          <w:rFonts w:ascii="Times New Roman;sans-serif" w:hAnsi="Times New Roman;sans-serif"/>
          <w:b w:val="false"/>
          <w:color w:val="000000"/>
          <w:sz w:val="20"/>
        </w:rPr>
        <w:t>to determine whether the existing receivable was transferred to Marathon and concluded it was not transferred. As of December 31, 2024 and 2023, Royalty receivable consists of four and five, respectively, annual minimum payments due from Sunovion, the last of which is due in March, 2028. The current portion of the royalty receivable is included in Trade and other receivables, net. See Note 17,</w:t>
      </w:r>
      <w:r>
        <w:rPr>
          <w:color w:val="000000"/>
        </w:rPr>
        <w:t xml:space="preserve">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 xml:space="preserve">for further details on how this receivable relates to the Monetization Agreement transaction.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Non-current portion of commissions capitalized under ASC 340, </w:t>
      </w:r>
      <w:r>
        <w:rPr>
          <w:rFonts w:ascii="Times New Roman;sans-serif" w:hAnsi="Times New Roman;sans-serif"/>
          <w:b w:val="false"/>
          <w:i/>
          <w:color w:val="000000"/>
          <w:sz w:val="20"/>
        </w:rPr>
        <w:t xml:space="preserve">Other Assets and Deferred Costs, </w:t>
      </w:r>
      <w:r>
        <w:rPr>
          <w:rFonts w:ascii="Times New Roman;sans-serif" w:hAnsi="Times New Roman;sans-serif"/>
          <w:b w:val="false"/>
          <w:color w:val="000000"/>
          <w:sz w:val="20"/>
        </w:rPr>
        <w:t xml:space="preserve">is recorded within Other non-current assets on the Balance Sheets. Commissions of $191 were expensed in Selling, general, and administrative expenses on the Statements of Operations and Comprehensive Loss for the year ended December 31, 2024 due to the termination of the underlying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06705"/>
                <wp:effectExtent l="0" t="0" r="0" b="0"/>
                <wp:wrapNone/>
                <wp:docPr id="113" name="Frame11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pPr>
      <w:r>
        <w:rPr>
          <w:rFonts w:ascii="Times New Roman;sans-serif" w:hAnsi="Times New Roman;sans-serif"/>
          <w:b/>
          <w:color w:val="000000"/>
          <w:sz w:val="20"/>
        </w:rPr>
        <w:t>Note 14.</w:t>
      </w:r>
      <w:r>
        <w:rPr>
          <w:color w:val="000000"/>
        </w:rPr>
        <w:t xml:space="preserve">     </w:t>
      </w:r>
      <w:r>
        <w:rPr>
          <w:rFonts w:ascii="Times New Roman;sans-serif" w:hAnsi="Times New Roman;sans-serif"/>
          <w:b/>
          <w:color w:val="000000"/>
          <w:sz w:val="20"/>
        </w:rPr>
        <w:t>Accrued Expenses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7029" w:type="dxa"/>
        <w:jc w:val="left"/>
        <w:tblInd w:w="0" w:type="dxa"/>
        <w:tblLayout w:type="fixed"/>
        <w:tblCellMar>
          <w:top w:w="28" w:type="dxa"/>
          <w:left w:w="28" w:type="dxa"/>
          <w:bottom w:w="28" w:type="dxa"/>
          <w:right w:w="28" w:type="dxa"/>
        </w:tblCellMar>
      </w:tblPr>
      <w:tblGrid>
        <w:gridCol w:w="1733"/>
        <w:gridCol w:w="1521"/>
        <w:gridCol w:w="1531"/>
        <w:gridCol w:w="211"/>
        <w:gridCol w:w="616"/>
        <w:gridCol w:w="109"/>
        <w:gridCol w:w="109"/>
        <w:gridCol w:w="109"/>
        <w:gridCol w:w="109"/>
        <w:gridCol w:w="211"/>
        <w:gridCol w:w="616"/>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personal property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distribution expenses and sales returns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The increase in Accrued compensation is mostly related to an increase in the current portion of accrued severance as of December 31, 2024. The decrease in Interest payable is due to the timing of interest payments on the 13.5% Senior Notes. The fourth quarter 2024 interest payment on the 13.5% Senior Notes was made on December 30, 2024. As of December 31, 2023, interest payable on the 13.5% Senior Notes was due on January 2, 2024. See Note 15, </w:t>
      </w:r>
      <w:r>
        <w:rPr>
          <w:rFonts w:ascii="Times New Roman;sans-serif" w:hAnsi="Times New Roman;sans-serif"/>
          <w:b w:val="false"/>
          <w:i/>
          <w:color w:val="000000"/>
          <w:sz w:val="20"/>
        </w:rPr>
        <w:t xml:space="preserve">Long-Term Debt, </w:t>
      </w:r>
      <w:r>
        <w:rPr>
          <w:rFonts w:ascii="Times New Roman;sans-serif" w:hAnsi="Times New Roman;sans-serif"/>
          <w:b w:val="false"/>
          <w:color w:val="000000"/>
          <w:sz w:val="20"/>
        </w:rPr>
        <w:t>for discussion of 13.5% Notes and related interest payable.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Accrued distribution expenses and sales returns provision mostly represent estimated liabilities for wholesaler service fees, co-pay support redemptions and other rebates related to the proprietary product Libervant and returns related to the period prior to the outlicensing of our proprietary product, Sympazan.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15.     Long-Term Debt</w:t>
      </w:r>
    </w:p>
    <w:p>
      <w:pPr>
        <w:pStyle w:val="TextBody"/>
        <w:bidi w:val="0"/>
        <w:spacing w:lineRule="auto" w:line="288" w:before="0" w:after="120"/>
        <w:ind w:left="0" w:right="0" w:firstLine="720"/>
        <w:jc w:val="both"/>
        <w:rPr>
          <w:rFonts w:ascii="Times New Roman;sans-serif" w:hAnsi="Times New Roman;sans-serif"/>
          <w:b/>
          <w:color w:val="000000"/>
          <w:sz w:val="20"/>
          <w:u w:val="single"/>
        </w:rPr>
      </w:pPr>
      <w:r>
        <w:rPr>
          <w:rFonts w:ascii="Times New Roman;sans-serif" w:hAnsi="Times New Roman;sans-serif"/>
          <w:b/>
          <w:color w:val="000000"/>
          <w:sz w:val="20"/>
          <w:u w:val="single"/>
        </w:rPr>
        <w:t>12.5% Senior Secured Notes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2019, the Company completed the private placement of up to $100,000 aggregate principal of its 12.5% Notes due 2025 and issued Warrants to purchase 2,000,000 shares of Common Stock, at $0.001 par value per share.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closing of the Base Indenture, the Company issued $70,000 of the 12.5% (the "Initial Notes") along with the Warrants and rights of first offer (the “First Offer Rights”) to the noteholders participating in this transaction. Issuance of the Initial Notes and Warrants provided net proceeds of $66,082.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dated November 20, 2020, the Company repaid $22,500 of its $70,000 outstanding 12.5% Notes from the upfront proceeds received under the Monetization Agreement. Further, the Company entered into an additional Purchase Agreement with its noteholders whereby the Company issued in aggregate $4,000 of additional 12.5% Notes (the "Additional Notes") in lieu of paying a prepayment premium to two noteholders on the early repayment of the 12.5% Notes discussed above. The result of these two transactions reduced the net balance of the Company's 12.5% Senior Notes outstanding in the aggregate to $51,500 at December 31, 2020. The $4,000 principal issuance would be repaid proportionally over the same maturities as the other 12.5% Notes. The Company also paid to one of its noteholders a $2,250 premium as result of the early retirement of debt.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$22,500 debt repayment as a debt modification of the 12.5% Notes. The fees paid to the noteholders inclusive of (i) $2,250 early premium prepayment and (ii) $4,000 issuance of Additional Notes in lieu of paying a 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First Supplemental Indenture contained a provision whereby, as the Company receives any cash proceeds from the Monetization Agreement, each noteholder has the right to require the Company to redeem all or any part of such noteholder’s outstanding 12.5% Notes at a repurchase price in cash equal to 112.5% of the principal amount, plus accrued and unpaid interest. This repurchase offer was capped at 30% of the cash proceeds received by the Company as the contingent milestones were attained, if any, up through June 30, 2025. A valuation study was performed by an independent third-party appraiser and updated in June 30, 2023. Based on the valuation study, the put option was valued at $0. The resulting $45 decrease in the put option fair value was recorded in interest income and other income, net on the Statements of Operations and Comprehensive Loss for the year ended December 31, 2023. The embedded put option was deemed to be a derivative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which required the recording of the embedded put option at fair value subject to remeasurement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06705"/>
                <wp:effectExtent l="0" t="0" r="0" b="0"/>
                <wp:wrapNone/>
                <wp:docPr id="114" name="Frame1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reporting period. In addition, as of the closing of this transaction, the Company issued to the holders of the 12.5% Notes warrants to purchase 143,000 shares of the Company's Common Stock. As of December 31, 2023, the put option was no longer in place due to the refinancing of the 12.5% Notes.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7, 2021, the Company entered into the Fourth Supplemental Indenture, pursuant to which the amortization schedule for the 12.5% Notes was amended to provide for the date of the first principal payment to be extended from September 30, 2021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(the “Consent Fee Letter”), pursuant to which the Company agreed to pay the holders of the 12.5% Notes an additional cash payment ("Consent Fee") of $2,700 in the aggregate, payable in four quarterly payments beginning May 15, 2022. The last Consent Fee installment of $675 was made in February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12.5% Notes provided a stated fixed interest rate of 12.5%, payable quarterly in arrears, with the final quarterly principal repayment of 12.5% Notes due at maturity on June 30, 2025.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could have elected, at its option, to redeem the 12.5% Notes at any time at premiums that range from 101.56% of outstanding principal if prepayment occurs on or after the fifth anniversary of the issue date of the Initial Notes to 112.50% if payment occurs during the third year after the issuance of the 12.5% Notes. The Indenture also included change of control provisions under which the Company may have been required to redeem the 12.5% Notes at 101% of the remaining principal plus accrued interest at the election of the noteholders.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redeemed $5,647 of its outstanding 12.5% Notes. The Company also paid a $353 prepayment premium as a result of the early retirement of debt which was reflected as a loss on extinguishment of debt on the Company's Statements of Operations and Comprehensive Loss for the year ended December 31, 2023. The Company also made three scheduled principal payments totaling $11,463 during the year ended December 31,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arising from deferred debt issuance costs and debt discounts related to the 12.5% Notes for the year ended December 31, 2023 was $13.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the Company issued the 13.5% Notes, as described below, and used the proceeds from the issuance to repay the outstanding principal balance under the 12.5% Notes of $36,014, including accrued and unpaid interest and a redemption fee. The Company accounted for this transaction as an extinguishment of debt and recognized a debt extinguishment charge of $1,029 for the year ended December 31, 2023. The debt extinguishment charge is included in Loss on the extinguishment of debt in the Company’s Statements of Operations and Comprehensive Loss.</w:t>
      </w:r>
    </w:p>
    <w:p>
      <w:pPr>
        <w:pStyle w:val="TextBody"/>
        <w:bidi w:val="0"/>
        <w:spacing w:lineRule="auto" w:line="288" w:before="0" w:after="120"/>
        <w:ind w:left="0" w:right="0" w:firstLine="720"/>
        <w:jc w:val="both"/>
        <w:rPr>
          <w:rFonts w:ascii="Times New Roman;sans-serif" w:hAnsi="Times New Roman;sans-serif"/>
          <w:b/>
          <w:color w:val="000000"/>
          <w:sz w:val="20"/>
          <w:u w:val="single"/>
        </w:rPr>
      </w:pPr>
      <w:r>
        <w:rPr>
          <w:rFonts w:ascii="Times New Roman;sans-serif" w:hAnsi="Times New Roman;sans-serif"/>
          <w:b/>
          <w:color w:val="000000"/>
          <w:sz w:val="20"/>
          <w:u w:val="single"/>
        </w:rPr>
        <w:t>13.5% Senior Secured Notes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the Company entered into an Indenture Agreement with certain institutional investors (the “Note Holders”) and issued $45,000 aggregate principal amount of its 13.5% Notes due 2028. The Company received net proceeds of approximately $4,326 from this transaction after the repayment of the 12.5% Notes and deduction of debt discount, and debt issuance costs.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13.5% Notes are senior secured obligations of the Company and mature on November 1, 2028. The 13.5% Notes bear interest at a fixed rate of 13.5% per year, payable quarterly commencing on December 30, 2023 with the first interest payment due on January 2, 2024. On each payment date commencing on June 30, 2026, the Company will pay an installment of principal of the 13.5% Notes pursuant to a fixed amortization schedule, along with the applicable Exit Fee. The Exit Fee totals $2,000.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at its option, redeem the 13.5% Notes in full or in part: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a.if such redemption occurs prior to November 1, 2025, at a redemption price equal to 100% of the principal amount plus accrued and unpaid interest, plus the applicable Exit Fee, plus an Applicable Premium which is the greater of </w:t>
      </w:r>
    </w:p>
    <w:p>
      <w:pPr>
        <w:pStyle w:val="TextBody"/>
        <w:bidi w:val="0"/>
        <w:spacing w:lineRule="auto" w:line="288" w:before="0" w:after="120"/>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i.1.0% of the principal redeemed; and </w:t>
      </w:r>
    </w:p>
    <w:p>
      <w:pPr>
        <w:pStyle w:val="TextBody"/>
        <w:bidi w:val="0"/>
        <w:spacing w:lineRule="auto" w:line="288" w:before="0" w:after="120"/>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amount, if any, by which the present value of the principal to be redeemed on November 1, 2025, plus all required interest due on such date, computed using a discount rate equal to the Treasury Rate, plus 100 basis points, exceeds the amount of principal to be redeemed;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b.if such redemption occurs after November 1, 2025, the redemption price is equal to 108.50% of the principal amount plus accrued and unpaid interest, plus the applicable Exit Fee.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undergoes a change of control, the Note Holders may require the Company to repurchase for cash all or any portion of the 13.5% Notes at a change of control repurchase price equal at 108.5% plus the Exit Fee of the remaining principal, plus accrued interest at the election of the Note 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06705"/>
                <wp:effectExtent l="0" t="0" r="0" b="0"/>
                <wp:wrapNone/>
                <wp:docPr id="115" name="Frame11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permits the Company, upon the continuing satisfaction of certain conditions, including that the Company has at least $100,000 of net revenues for the most recently completed twelve calendar month period, to enter into an ABL facility not to exceed $10,000. The ABL Facility may be collateralized only by assets of the Company constituting inventory, accounts receivable, and the proceeds thereof.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13.5% Notes, the Company and the Note Holders entered into the Royalty Right Agreements dated as of November 1, 2023, which provides Note Holders: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tiered royalty between 1.0% and 2.0% of annual worldwide net sales of Anaphylm (epinephrine) Sublingual Film for a period of eight years from the first sale of Anaphylm on a global basis,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Both the 13.5% Notes and Royalty Right Agreements represent freestanding instruments which were issued in conjunction with each other. They are classified as debt within the scope of ASC 470,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and are subsequently measured on an amortized cost basis.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fair value measurement of the Royalty Right Agreements was determined based on significant unobservable inputs, including the discount rate, estimated probabilities of success, and the estimated amount of future sales of Anaphylm and Libervant. These inputs are derived using internal management estimates developed based on third-party data and reflect management’s judgements, current market conditions, and forecasts.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Royalty Right Agreements fair value is estimated by applying probability-weighted cash flows for future sales, which are then discounted to present value. Changes to the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significant unobservable inputs used in the initial fair value measurement of the Royalty Right Agreements as of December 31, 2023:</w:t>
      </w:r>
    </w:p>
    <w:tbl>
      <w:tblPr>
        <w:tblW w:w="10205" w:type="dxa"/>
        <w:jc w:val="left"/>
        <w:tblInd w:w="0" w:type="dxa"/>
        <w:tblLayout w:type="fixed"/>
        <w:tblCellMar>
          <w:top w:w="28" w:type="dxa"/>
          <w:left w:w="28" w:type="dxa"/>
          <w:bottom w:w="28" w:type="dxa"/>
          <w:right w:w="28" w:type="dxa"/>
        </w:tblCellMar>
      </w:tblPr>
      <w:tblGrid>
        <w:gridCol w:w="594"/>
        <w:gridCol w:w="523"/>
        <w:gridCol w:w="526"/>
        <w:gridCol w:w="546"/>
        <w:gridCol w:w="546"/>
        <w:gridCol w:w="548"/>
        <w:gridCol w:w="109"/>
        <w:gridCol w:w="109"/>
        <w:gridCol w:w="109"/>
        <w:gridCol w:w="109"/>
        <w:gridCol w:w="109"/>
        <w:gridCol w:w="1951"/>
        <w:gridCol w:w="109"/>
        <w:gridCol w:w="109"/>
        <w:gridCol w:w="109"/>
        <w:gridCol w:w="596"/>
        <w:gridCol w:w="596"/>
        <w:gridCol w:w="468"/>
        <w:gridCol w:w="238"/>
        <w:gridCol w:w="238"/>
        <w:gridCol w:w="238"/>
        <w:gridCol w:w="342"/>
        <w:gridCol w:w="238"/>
        <w:gridCol w:w="240"/>
        <w:gridCol w:w="109"/>
        <w:gridCol w:w="109"/>
        <w:gridCol w:w="109"/>
        <w:gridCol w:w="167"/>
        <w:gridCol w:w="167"/>
        <w:gridCol w:w="244"/>
      </w:tblGrid>
      <w:tr>
        <w:trPr/>
        <w:tc>
          <w:tcPr>
            <w:tcW w:w="59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Methodology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9"/>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(range, if applicable)</w:t>
            </w:r>
          </w:p>
        </w:tc>
        <w:tc>
          <w:tcPr>
            <w:tcW w:w="905" w:type="dxa"/>
            <w:gridSpan w:val="6"/>
            <w:tcBorders/>
          </w:tcPr>
          <w:p>
            <w:pPr>
              <w:pStyle w:val="TableContents"/>
              <w:bidi w:val="0"/>
              <w:spacing w:before="0" w:after="283"/>
              <w:jc w:val="left"/>
              <w:rPr>
                <w:sz w:val="4"/>
                <w:szCs w:val="4"/>
              </w:rPr>
            </w:pPr>
            <w:r>
              <w:rPr>
                <w:sz w:val="4"/>
                <w:szCs w:val="4"/>
              </w:rPr>
            </w:r>
          </w:p>
        </w:tc>
      </w:tr>
      <w:tr>
        <w:trPr/>
        <w:tc>
          <w:tcPr>
            <w:tcW w:w="164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64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Royalty Right Agreements</w:t>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weighted</w:t>
              <w:br/>
              <w:t>income approach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of Success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164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Projected Years of Payments</w:t>
            </w:r>
          </w:p>
        </w:tc>
        <w:tc>
          <w:tcPr>
            <w:tcW w:w="71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were no material changes to the significant unobservable inputs used to recognize the Royalty Right Agreements liability. Management has updated the projected years of payments to 2034 and the effective interest rate by 0.56%.</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Royalty Right Agreements were issued in connection with the 13.5% Notes, the Company allocated the proceeds to the two instruments based on their relative fair values. The Company allocated approximately $13,856 to the Royalty Right Agreements. The Company determined the allocated fair value by calculating the present value of estimated future royalties to be paid to Note Holders over the life of the arrangement.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future estimated royalty payments of $56,926 over the $13,856 of allocated fair value is recognized as a discount related to the Royalty Right Agreements and is amortized as interest expense using the effective interest method.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allocated amounts of $13,856 when combined with the Exit Fee of $2,000, original issue discount of $1,125 and debt issuance costs of $3,517, resulted in debt discount of $20,498. The debt discount is being amortized over the term of 13.5% Notes using the effective interest method.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arising from the discounts related to the 13.5% Notes and Royalty Right Agreements for the year ended December 31, 2024 was 5,019 and $5,459, respectively. Amortization expense arising from the discounts related to the 13.5% Notes and Royalty Right Agreements for the year ended December 31, 2023 was $833 and $905, respectively.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Unamortized discounts totaled $12,646 for the 13.5% Notes and $36,706 for royalty obligations as of December 31, 2024. Unamortized discounts totaled $17,665 for the 13.5% Notes and $42,165 for royalty obligations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06705"/>
                <wp:effectExtent l="0" t="0" r="0" b="0"/>
                <wp:wrapNone/>
                <wp:docPr id="116" name="Frame11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notes and unamortized debt discount balances are as follows:</w:t>
      </w:r>
    </w:p>
    <w:tbl>
      <w:tblPr>
        <w:tblW w:w="5979" w:type="dxa"/>
        <w:jc w:val="left"/>
        <w:tblInd w:w="0" w:type="dxa"/>
        <w:tblLayout w:type="fixed"/>
        <w:tblCellMar>
          <w:top w:w="28" w:type="dxa"/>
          <w:left w:w="28" w:type="dxa"/>
          <w:bottom w:w="28" w:type="dxa"/>
          <w:right w:w="28" w:type="dxa"/>
        </w:tblCellMar>
      </w:tblPr>
      <w:tblGrid>
        <w:gridCol w:w="1277"/>
        <w:gridCol w:w="1122"/>
        <w:gridCol w:w="1126"/>
        <w:gridCol w:w="211"/>
        <w:gridCol w:w="721"/>
        <w:gridCol w:w="109"/>
        <w:gridCol w:w="109"/>
        <w:gridCol w:w="109"/>
        <w:gridCol w:w="109"/>
        <w:gridCol w:w="211"/>
        <w:gridCol w:w="721"/>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outstanding notes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including Exit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long-term</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long-term</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74" w:type="dxa"/>
        <w:jc w:val="left"/>
        <w:tblInd w:w="0" w:type="dxa"/>
        <w:tblLayout w:type="fixed"/>
        <w:tblCellMar>
          <w:top w:w="28" w:type="dxa"/>
          <w:left w:w="28" w:type="dxa"/>
          <w:bottom w:w="28" w:type="dxa"/>
          <w:right w:w="28" w:type="dxa"/>
        </w:tblCellMar>
      </w:tblPr>
      <w:tblGrid>
        <w:gridCol w:w="1131"/>
        <w:gridCol w:w="991"/>
        <w:gridCol w:w="998"/>
        <w:gridCol w:w="211"/>
        <w:gridCol w:w="721"/>
        <w:gridCol w:w="109"/>
        <w:gridCol w:w="109"/>
        <w:gridCol w:w="109"/>
        <w:gridCol w:w="109"/>
        <w:gridCol w:w="211"/>
        <w:gridCol w:w="721"/>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12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royalty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Scheduled principal payments on the 13.5% Notes as of December 31, 2024 are as follows:</w:t>
      </w:r>
    </w:p>
    <w:tbl>
      <w:tblPr>
        <w:tblW w:w="1672" w:type="dxa"/>
        <w:jc w:val="left"/>
        <w:tblInd w:w="0" w:type="dxa"/>
        <w:tblLayout w:type="fixed"/>
        <w:tblCellMar>
          <w:top w:w="28" w:type="dxa"/>
          <w:left w:w="28" w:type="dxa"/>
          <w:bottom w:w="28" w:type="dxa"/>
          <w:right w:w="28" w:type="dxa"/>
        </w:tblCellMar>
      </w:tblPr>
      <w:tblGrid>
        <w:gridCol w:w="212"/>
        <w:gridCol w:w="186"/>
        <w:gridCol w:w="188"/>
        <w:gridCol w:w="211"/>
        <w:gridCol w:w="721"/>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16.    Warrants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Warrants Issued to 12.5% Senior Secured Noteholders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that were issued in conjunction with the Initial Notes (the “Initial Warrants”) and Additional Notes (the “Additional Warrants”) expire on June 30, 2025 and entitle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Balance Sheets. During the year ended December 31, 2024, 30,645 of the Additional Warrants were exercised with the Company receiving proceeds of $165. There were no warrants exercised during the year ended December 31, 2023.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Warrants to purchase a total of 1,683,784 shares of Common Stock with exercise prices of $4.25 and $5.38 for 1,571,429 warrants and 112,355 warrants, respectively, remained outstanding as of December 31, 2024. Warrants to purchase a total of 1,714,429 shares of Common Stock with exercise prices of $4.25 and $5.38 for 1,571,429 warrants and 143,000 warrants, respectively, remained outstanding as of December 31, 2023 See Note 15, </w:t>
      </w:r>
      <w:r>
        <w:rPr>
          <w:rFonts w:ascii="Times New Roman;sans-serif" w:hAnsi="Times New Roman;sans-serif"/>
          <w:b w:val="false"/>
          <w:i/>
          <w:color w:val="000000"/>
          <w:sz w:val="20"/>
        </w:rPr>
        <w:t>Long-Term Debt.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Warrants Issued Under Securities Purchase Agreements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as of December 31, 2022. The Common Stock Warrants expire on June 8, 2027 and entitle the purchasers to purchase up to 8,850,000 shares of Common Stock at a price ranging from $0.96 to $1.09 per share. Management estimated the fair value of the pre-funded warrants and Common Stock warrants to be $5,874 based on an assessment by an independent third-party appraiser. The fair value of the pre-funded and Common Stock warrants is treated as equity and is presented in Additional Paid-in Capital in the Company’s Balance Sheets. On June 14, 2023, 3,689,452 Common Stock warrants issued pursuant to the Securities Purchase Agreements were exercised with proceeds of approximately $3,542.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06705"/>
                <wp:effectExtent l="0" t="0" r="0" b="0"/>
                <wp:wrapNone/>
                <wp:docPr id="117" name="Frame11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2023, the Company entered into the Letter Agreement with the Exercising Holder of 5,000,000 of the remaining Common Stock Warrants.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are exercisable after February 2, 2024, expire on February 2, 2029 and are issuable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Management estimated the fair value of the warrants to be $4,671 based on an assessment by an independent third-party appraiser. The fair value of the New warrants is treated as equity and is presented in Additional Paid-in Capital in the Company’s Balance Sheets.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 2023, 5,000,000 of the Existing Warrants were exercised pursuant to the Securities Purchase Agreement with the Exercising Holder, with the Company receiving gross proceeds therefrom of $4,800. In total, 8,689,452 Common Stock warrants issued pursuant to the Securities Purchase Agreements with proceeds of approximately $8,307 were exercised during the year ended December 31, 2023. The Company incurred $35 in relation to this transaction.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warrants issued or exercised as it relates to the Warrants Issued Under Securities Purchase Agreements during the year ended December 31, 2024.</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As of December 31, 2024, in addition to the warrants to purchase 2,750,000 shares of Common Stock described above, there remained outstanding warrants to purchase 160,548 shares of Common Stock at an exercise price of $0.96 and warrants to purchase 1,683,784 shares of Common Stock outstanding related to the original issuance of the 12.5% Notes prior to the debt refinancing described above in this Note 15,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with exercise prices of $4.25 and $5.38 for 1,571,429 warrants and 112,355 warrants,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17.     Sale of Future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December 31, 2024 under the Monetization Agreement.</w:t>
      </w:r>
    </w:p>
    <w:p>
      <w:pPr>
        <w:pStyle w:val="TextBody"/>
        <w:bidi w:val="0"/>
        <w:spacing w:lineRule="auto" w:line="276"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pStyle w:val="TextBody"/>
        <w:bidi w:val="0"/>
        <w:spacing w:lineRule="auto" w:line="276"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Transfer and Servicing to determine whether the existing receivable was transferred to Marathon and concluded that the receivable was not transferred.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will be recorded as interest expense over the life of the Monetization Agreement. At execution,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06705"/>
                <wp:effectExtent l="0" t="0" r="0" b="0"/>
                <wp:wrapNone/>
                <wp:docPr id="118" name="Frame11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 of this total interest expense resulted in an effective annual interest rate of approximately 24.9%. This estimate contains significant assumptions that impact both the amount recorded at execution and the interest expense that will be recognized over the life of the Monetization Agreement. The Company assesses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Sunovion announced that it has voluntarily withdrawn KYNMOBI from the U.S. and Canadian markets. Therefore, the Company likely will not receive any of the additional contingent payments under the Monetization agreement. Further, the Company discontinued recording interest expense related to the sale of future revenue during the fourth quarter of 2022.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activity of the Liability related to the sale of future revenue: </w:t>
      </w:r>
    </w:p>
    <w:tbl>
      <w:tblPr>
        <w:tblW w:w="10205" w:type="dxa"/>
        <w:jc w:val="left"/>
        <w:tblInd w:w="0" w:type="dxa"/>
        <w:tblLayout w:type="fixed"/>
        <w:tblCellMar>
          <w:top w:w="28" w:type="dxa"/>
          <w:left w:w="28" w:type="dxa"/>
          <w:bottom w:w="28" w:type="dxa"/>
          <w:right w:w="28" w:type="dxa"/>
        </w:tblCellMar>
      </w:tblPr>
      <w:tblGrid>
        <w:gridCol w:w="2853"/>
        <w:gridCol w:w="2445"/>
        <w:gridCol w:w="2452"/>
        <w:gridCol w:w="211"/>
        <w:gridCol w:w="721"/>
        <w:gridCol w:w="109"/>
        <w:gridCol w:w="109"/>
        <w:gridCol w:w="109"/>
        <w:gridCol w:w="109"/>
        <w:gridCol w:w="211"/>
        <w:gridCol w:w="721"/>
        <w:gridCol w:w="155"/>
      </w:tblGrid>
      <w:tr>
        <w:trPr/>
        <w:tc>
          <w:tcPr>
            <w:tcW w:w="2853"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related to the sale of future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 at end of the period (includes current portion of $1,000 and $922, respectively)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18.     Other Non-Current Liabilities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other non-current liabilities at December 31, 2024 consisted of AROs of $2,039 and severance liabilities of $356. The Company’s other non-current liabilities at December 31, 2023 consisted of AROs of $2,016.</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AROs consists of estimated future spending related to removing certain leasehold improvements at the Company’s facilities in Portage, Indiana and Warren, New Jersey, and returning all facilities to their original condition. Depreciation expense related to the ARO assets included in overall depreciation expense for the periods ended December 31, 2024 and 2023 were $11 and $7, respectively.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schedule of activity in the Company’s liability for AROs for the year ended December 31, 2024 and 2023. </w:t>
      </w:r>
    </w:p>
    <w:tbl>
      <w:tblPr>
        <w:tblW w:w="3575" w:type="dxa"/>
        <w:jc w:val="left"/>
        <w:tblInd w:w="0" w:type="dxa"/>
        <w:tblLayout w:type="fixed"/>
        <w:tblCellMar>
          <w:top w:w="28" w:type="dxa"/>
          <w:left w:w="28" w:type="dxa"/>
          <w:bottom w:w="28" w:type="dxa"/>
          <w:right w:w="28" w:type="dxa"/>
        </w:tblCellMar>
      </w:tblPr>
      <w:tblGrid>
        <w:gridCol w:w="939"/>
        <w:gridCol w:w="825"/>
        <w:gridCol w:w="830"/>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8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06705"/>
                <wp:effectExtent l="0" t="0" r="0" b="0"/>
                <wp:wrapNone/>
                <wp:docPr id="119" name="Frame11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19.    Net Loss Per Share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by the weighted-average number of shares of Common Stock.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Diluted EPS is adjusted by the effect of dilutive securities, including options and awards under the Company’s equity compensation plans, warrants and ESPP. As a result of the Company’s net loss incurred for the years ended December 31, 2024 and 2023, all potentially dilutive instruments outstanding would have anti-dilutive effects on per-share calculations. Therefore, basic and diluted net loss per share are the same for the years ended December 31, 2024 and 2023 as reflected below.</w:t>
      </w:r>
    </w:p>
    <w:tbl>
      <w:tblPr>
        <w:tblW w:w="10205" w:type="dxa"/>
        <w:jc w:val="left"/>
        <w:tblInd w:w="0" w:type="dxa"/>
        <w:tblLayout w:type="fixed"/>
        <w:tblCellMar>
          <w:top w:w="28" w:type="dxa"/>
          <w:left w:w="28" w:type="dxa"/>
          <w:bottom w:w="28" w:type="dxa"/>
          <w:right w:w="28" w:type="dxa"/>
        </w:tblCellMar>
      </w:tblPr>
      <w:tblGrid>
        <w:gridCol w:w="1721"/>
        <w:gridCol w:w="1515"/>
        <w:gridCol w:w="1537"/>
        <w:gridCol w:w="496"/>
        <w:gridCol w:w="1787"/>
        <w:gridCol w:w="245"/>
        <w:gridCol w:w="109"/>
        <w:gridCol w:w="109"/>
        <w:gridCol w:w="109"/>
        <w:gridCol w:w="543"/>
        <w:gridCol w:w="1658"/>
        <w:gridCol w:w="376"/>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2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25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 basic and diluted</w:t>
            </w:r>
          </w:p>
        </w:tc>
        <w:tc>
          <w:tcPr>
            <w:tcW w:w="2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86,726,211 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61,255,864 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 basic and diluted</w:t>
            </w:r>
          </w:p>
        </w:tc>
        <w:tc>
          <w:tcPr>
            <w:tcW w:w="4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2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3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(a)For the years ended December 31, 2024 and 2023, outstanding stock options of 6,301,364 and 5,733,064 to purchase shares of Common Stock, respectively, were anti-dilutive.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(b)For the years ended December 31, 2024 and 2023, outstanding restricted stock units of 3,692,876 and 3,280,313 to purchase shares of Common Stock, respectively were anti-dilutive.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(c)For the years ended December 31, 2024 and 2023, outstanding warrants of 4,594,332 and 4,624,977 to purchase shares of Common Stock, respectively,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20.    Share-Based Compensation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certain employees, non-employee directors and consultants with performance incentives under the Aquestive Therapeutics, Inc. Equity Incentive Plan (“the Plan”), adopted by the Board of Directors on June 15, 2018. Under this Plan, the Company may grant restricted stock units, stock options, or other stock-based awards in order to align the long-term financial interests of selected participants with those of its stockholders, strengthen the commitment of such persons to the Company, and attract and retain competent and dedicated persons whose efforts will enhance long-term growth, profitability and share value.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service-based restricted stock units and stock options that have been awarded are subject to graded vesting over a service period, which is typically three years. The restricted stock units with vesting based on market conditions were awarded in 2023 and vest in three years on the anniversary of the first tranche award. Compensation cost is recognized for restricted stock units, both service-based awards and market conditions vesting-based awards, on a straight line basis over the requisite service period for each award granted. Compensation cost for stock option awards is recognized based on a pro-rata basis over the requisite period for each award granted.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there were approximately 2.0 million shares available for grant.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share-based compensation in its Statements of Operations and Comprehensive Loss during the periods presented as follows:</w:t>
      </w:r>
    </w:p>
    <w:tbl>
      <w:tblPr>
        <w:tblW w:w="9430" w:type="dxa"/>
        <w:jc w:val="left"/>
        <w:tblInd w:w="0" w:type="dxa"/>
        <w:tblLayout w:type="fixed"/>
        <w:tblCellMar>
          <w:top w:w="28" w:type="dxa"/>
          <w:left w:w="28" w:type="dxa"/>
          <w:bottom w:w="28" w:type="dxa"/>
          <w:right w:w="28" w:type="dxa"/>
        </w:tblCellMar>
      </w:tblPr>
      <w:tblGrid>
        <w:gridCol w:w="1270"/>
        <w:gridCol w:w="1117"/>
        <w:gridCol w:w="1123"/>
        <w:gridCol w:w="623"/>
        <w:gridCol w:w="1825"/>
        <w:gridCol w:w="326"/>
        <w:gridCol w:w="109"/>
        <w:gridCol w:w="109"/>
        <w:gridCol w:w="109"/>
        <w:gridCol w:w="605"/>
        <w:gridCol w:w="1769"/>
        <w:gridCol w:w="445"/>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classification:</w:t>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expenses</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from:</w:t>
            </w:r>
          </w:p>
        </w:tc>
        <w:tc>
          <w:tcPr>
            <w:tcW w:w="27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expenses</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06705"/>
                <wp:effectExtent l="0" t="0" r="0" b="0"/>
                <wp:wrapNone/>
                <wp:docPr id="120" name="Frame11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the Company’s restricted stock unit and stock option activity during the year ended December 31, 2024 and 2023.</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awards of service-based and market conditions vesting-based restricted stock units for the years 2024 and 2023:</w:t>
      </w:r>
    </w:p>
    <w:tbl>
      <w:tblPr>
        <w:tblW w:w="7764" w:type="dxa"/>
        <w:jc w:val="left"/>
        <w:tblInd w:w="0" w:type="dxa"/>
        <w:tblLayout w:type="fixed"/>
        <w:tblCellMar>
          <w:top w:w="28" w:type="dxa"/>
          <w:left w:w="28" w:type="dxa"/>
          <w:bottom w:w="28" w:type="dxa"/>
          <w:right w:w="28" w:type="dxa"/>
        </w:tblCellMar>
      </w:tblPr>
      <w:tblGrid>
        <w:gridCol w:w="1610"/>
        <w:gridCol w:w="1417"/>
        <w:gridCol w:w="1427"/>
        <w:gridCol w:w="418"/>
        <w:gridCol w:w="418"/>
        <w:gridCol w:w="423"/>
        <w:gridCol w:w="109"/>
        <w:gridCol w:w="109"/>
        <w:gridCol w:w="109"/>
        <w:gridCol w:w="414"/>
        <w:gridCol w:w="1005"/>
        <w:gridCol w:w="305"/>
      </w:tblGrid>
      <w:tr>
        <w:trPr/>
        <w:tc>
          <w:tcPr>
            <w:tcW w:w="161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(RSUs) - Service-based:</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 Fair</w:t>
              <w:br/>
              <w:t>Value Per Share</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125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2024</w:t>
            </w:r>
          </w:p>
        </w:tc>
        <w:tc>
          <w:tcPr>
            <w:tcW w:w="125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as of December 31, 2024</w:t>
            </w:r>
          </w:p>
        </w:tc>
        <w:tc>
          <w:tcPr>
            <w:tcW w:w="125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1,470,300 service-based restricted stock units during 2024. The Company granted 1,874,300 service-based restricted stock units during 2023. During 2024, the total grant date fair market value of shares vested was $1,112.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$5,772 of total unrecognized compensation expenses related to unvested service-based restricted stock units are expected to be recognized over a remaining weighted average period of 1.73 years. The service-based restricted stock units granted to employees are subject to a three-year graduated vesting schedule and are not subject to performance-based criteria other than continued employment.</w:t>
      </w:r>
    </w:p>
    <w:p>
      <w:pPr>
        <w:pStyle w:val="TextBody"/>
        <w:bidi w:val="0"/>
        <w:spacing w:lineRule="auto" w:line="288" w:before="0" w:after="12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2022 Inducement Equity Incentive Plan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NASDAQ Listing Rule 5635(c)(4), the Company adopted the 2022 Equity Inducement Plan approved by the Compensation Committee of the Board of Directors of the Company effective as of July 29, 2022. There were no awards outstanding under this Plan as of December 31, 2024.</w:t>
      </w:r>
    </w:p>
    <w:tbl>
      <w:tblPr>
        <w:tblW w:w="9310" w:type="dxa"/>
        <w:jc w:val="left"/>
        <w:tblInd w:w="0" w:type="dxa"/>
        <w:tblLayout w:type="fixed"/>
        <w:tblCellMar>
          <w:top w:w="28" w:type="dxa"/>
          <w:left w:w="28" w:type="dxa"/>
          <w:bottom w:w="28" w:type="dxa"/>
          <w:right w:w="28" w:type="dxa"/>
        </w:tblCellMar>
      </w:tblPr>
      <w:tblGrid>
        <w:gridCol w:w="2172"/>
        <w:gridCol w:w="1912"/>
        <w:gridCol w:w="1916"/>
        <w:gridCol w:w="418"/>
        <w:gridCol w:w="418"/>
        <w:gridCol w:w="423"/>
        <w:gridCol w:w="109"/>
        <w:gridCol w:w="109"/>
        <w:gridCol w:w="109"/>
        <w:gridCol w:w="414"/>
        <w:gridCol w:w="1005"/>
        <w:gridCol w:w="305"/>
      </w:tblGrid>
      <w:tr>
        <w:trPr/>
        <w:tc>
          <w:tcPr>
            <w:tcW w:w="217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(RSUs) - Market conditions vesting-based:</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 Fair</w:t>
              <w:br/>
              <w:t>Value Per Share</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125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2024</w:t>
            </w:r>
          </w:p>
        </w:tc>
        <w:tc>
          <w:tcPr>
            <w:tcW w:w="125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as of December 31, 2024</w:t>
            </w:r>
          </w:p>
        </w:tc>
        <w:tc>
          <w:tcPr>
            <w:tcW w:w="125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market conditions vesting-based restricted stock units granted in 2024. The Company granted 1,332,000 market conditions vesting-based restricted stock units during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06705"/>
                <wp:effectExtent l="0" t="0" r="0" b="0"/>
                <wp:wrapNone/>
                <wp:docPr id="121" name="Frame11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$1,133 of total unrecognized compensation expenses related to unvested market conditions vesting-based restricted stock units are expected to be recognized over a remaining weighted average period of 1.34 years.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conditions vesting-based restricted stock units vest based on a Performance Price measured as the 30-day average of the closing prices of the Company’s common stock as reported on the Nasdaq Stock Market immediately prior to and including the last calendar day of the three-year performance period (which ends on the third anniversary of the grant date). To the extent the Performance Price is less than $1.75, the Vesting Percentage will be zero. To the extent the Performance Price is $1.75, the Vesting Percentage will be 50%. To the extent the Performance Price is $1.76 or greater, but less than $2.50, the Vesting Percentage will be a prorated amount between 50.01% and 99.99%, based on straight-line interpolation. To the extent the Performance Price is $2.50, the Vesting Percentage will be 100%. To the extent the Performance Price is $2.51 or greater, but less than $3.25, the Vesting Percentage will be a prorated amount between 100.01% and 149.99%, based on straight-line interpolation. To the extent the Performance Price is $3.25 or greater, the Vesting Percentage will be 150%. In no event will the Vesting Percentage exceed 150%.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estimates of the fair value of market conditions vesting-based awards at their grant or valuation dates were based on a Monte Carlo simulation and considered various variables and assumptions, including a simulated 30-day average at the end of the Performance period including the following assumptions:</w:t>
      </w:r>
    </w:p>
    <w:tbl>
      <w:tblPr>
        <w:tblW w:w="4535" w:type="dxa"/>
        <w:jc w:val="left"/>
        <w:tblInd w:w="0" w:type="dxa"/>
        <w:tblLayout w:type="fixed"/>
        <w:tblCellMar>
          <w:top w:w="28" w:type="dxa"/>
          <w:left w:w="28" w:type="dxa"/>
          <w:bottom w:w="28" w:type="dxa"/>
          <w:right w:w="28" w:type="dxa"/>
        </w:tblCellMar>
      </w:tblPr>
      <w:tblGrid>
        <w:gridCol w:w="772"/>
        <w:gridCol w:w="678"/>
        <w:gridCol w:w="680"/>
        <w:gridCol w:w="189"/>
        <w:gridCol w:w="189"/>
        <w:gridCol w:w="189"/>
        <w:gridCol w:w="231"/>
        <w:gridCol w:w="205"/>
        <w:gridCol w:w="189"/>
        <w:gridCol w:w="189"/>
        <w:gridCol w:w="189"/>
        <w:gridCol w:w="189"/>
        <w:gridCol w:w="189"/>
        <w:gridCol w:w="189"/>
        <w:gridCol w:w="268"/>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5" w:type="dxa"/>
            <w:gridSpan w:val="1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9"/>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9"/>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price at grant date</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c>
      </w:tr>
    </w:tbl>
    <w:p>
      <w:pPr>
        <w:pStyle w:val="TextBody"/>
        <w:bidi w:val="0"/>
        <w:spacing w:lineRule="auto" w:line="288" w:before="0" w:after="12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Stock option awards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stock option activity for the years during 2024 and 2023:</w:t>
      </w:r>
    </w:p>
    <w:tbl>
      <w:tblPr>
        <w:tblW w:w="9544" w:type="dxa"/>
        <w:jc w:val="left"/>
        <w:tblInd w:w="0" w:type="dxa"/>
        <w:tblLayout w:type="fixed"/>
        <w:tblCellMar>
          <w:top w:w="28" w:type="dxa"/>
          <w:left w:w="28" w:type="dxa"/>
          <w:bottom w:w="28" w:type="dxa"/>
          <w:right w:w="28" w:type="dxa"/>
        </w:tblCellMar>
      </w:tblPr>
      <w:tblGrid>
        <w:gridCol w:w="1269"/>
        <w:gridCol w:w="1117"/>
        <w:gridCol w:w="1124"/>
        <w:gridCol w:w="324"/>
        <w:gridCol w:w="324"/>
        <w:gridCol w:w="326"/>
        <w:gridCol w:w="109"/>
        <w:gridCol w:w="109"/>
        <w:gridCol w:w="109"/>
        <w:gridCol w:w="338"/>
        <w:gridCol w:w="821"/>
        <w:gridCol w:w="176"/>
        <w:gridCol w:w="109"/>
        <w:gridCol w:w="109"/>
        <w:gridCol w:w="109"/>
        <w:gridCol w:w="444"/>
        <w:gridCol w:w="444"/>
        <w:gridCol w:w="446"/>
        <w:gridCol w:w="109"/>
        <w:gridCol w:w="109"/>
        <w:gridCol w:w="109"/>
        <w:gridCol w:w="302"/>
        <w:gridCol w:w="885"/>
        <w:gridCol w:w="223"/>
      </w:tblGrid>
      <w:tr>
        <w:trPr/>
        <w:tc>
          <w:tcPr>
            <w:tcW w:w="126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000s, except share price data)</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 Value</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6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6,028 </w:t>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Expired</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Expired</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2024</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as of December 31, 2024</w:t>
            </w:r>
          </w:p>
        </w:tc>
        <w:tc>
          <w:tcPr>
            <w:tcW w:w="6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6,234 </w:t>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2024</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stock options granted during 2024 and 2023 was $3.98 and $1.50, respectively. During the year ended December 31, 2024, 1,023,900 stock options were granted with an exercise price of $4.83 and accordingly, given the Company’s share price of $3.56 at December 31, 2024, the intrinsic value provided by certain shares granted during this period was de minimis.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06705"/>
                <wp:effectExtent l="0" t="0" r="0" b="0"/>
                <wp:wrapNone/>
                <wp:docPr id="122" name="Frame12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stock options granted were estimated using the Black-Scholes model based on the following assumptions:</w:t>
      </w:r>
    </w:p>
    <w:tbl>
      <w:tblPr>
        <w:tblW w:w="4993" w:type="dxa"/>
        <w:jc w:val="left"/>
        <w:tblInd w:w="0" w:type="dxa"/>
        <w:tblLayout w:type="fixed"/>
        <w:tblCellMar>
          <w:top w:w="28" w:type="dxa"/>
          <w:left w:w="28" w:type="dxa"/>
          <w:bottom w:w="28" w:type="dxa"/>
          <w:right w:w="28" w:type="dxa"/>
        </w:tblCellMar>
      </w:tblPr>
      <w:tblGrid>
        <w:gridCol w:w="772"/>
        <w:gridCol w:w="678"/>
        <w:gridCol w:w="680"/>
        <w:gridCol w:w="194"/>
        <w:gridCol w:w="194"/>
        <w:gridCol w:w="196"/>
        <w:gridCol w:w="110"/>
        <w:gridCol w:w="110"/>
        <w:gridCol w:w="110"/>
        <w:gridCol w:w="194"/>
        <w:gridCol w:w="194"/>
        <w:gridCol w:w="196"/>
        <w:gridCol w:w="110"/>
        <w:gridCol w:w="110"/>
        <w:gridCol w:w="110"/>
        <w:gridCol w:w="110"/>
        <w:gridCol w:w="110"/>
        <w:gridCol w:w="110"/>
        <w:gridCol w:w="110"/>
        <w:gridCol w:w="110"/>
        <w:gridCol w:w="110"/>
        <w:gridCol w:w="110"/>
        <w:gridCol w:w="110"/>
        <w:gridCol w:w="155"/>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3"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8" w:type="dxa"/>
            <w:gridSpan w:val="9"/>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9"/>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498" w:type="dxa"/>
            <w:gridSpan w:val="9"/>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9"/>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prices</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anticipates reinvesting earnings for the foreseeable future in product development and other avenues of share-value growth and therefore used a dividend yield of zero. The estimate of volatility was determined based on an estimate of stock price volatility using the historical trading data of the Company's publicly-traded Common Stock at the time of grant. The expected term of the award was calculated using the simplified method and weighted average was utilized taking into account the vesting periods and contractual life. The risk-free interest rates are derived from the U.S. Treasury yield curve in effect on the date of grant for instruments with a remaining term similar to the expected term of the options.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$2,867 of total unrecognized compensation expenses related to non-vested stock options is expected to be recognized over a remaining weighted average period of 1.35 years. These option grants provided a maximum contract term of 10 years from grant date, with a weighted average remaining contract life of 6.08 years. Options granted to senior management and key employees are subject to a 3-year graded vesting schedule while options granted to the Board of Directors are subject to a one year cliff vesting schedule. These stock options are not subject to performance-based criteria other than continued employment.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Employee Stock Purchase Plan (the "ESPP"), as amended and restated effective as of January 1, 2019, features two six-month offering periods per year, running from January 1 to June 30 and July 1 to December 31. Under the ESPP, employees of the Company may elect to purchase the Company’s Common Stock at the lower of 85% of the fair value of shares on either the first or last day of the offering period. Under the ESPP, a total of 250,000 shares of Common Stock were initially reserved for issuance. During the year ended 2024 and 2023, 35,374 and 36,168 shares were purchased and issued through the ESPP at total discounts of $42 and $27,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21.    Employee Benefit Plans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defined-contribution 401(k) plan covering all full-time employees and makes matching employer contributions as defined by the terms of that plan. The Company may also make discretionary contributions. Total contributions made to the plan by the Company for the years ended December 31, 2024 and 2023 were $849 and $761,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22.     Income Taxes</w:t>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are as follows:</w:t>
      </w:r>
    </w:p>
    <w:tbl>
      <w:tblPr>
        <w:tblW w:w="4526" w:type="dxa"/>
        <w:jc w:val="left"/>
        <w:tblInd w:w="0" w:type="dxa"/>
        <w:tblLayout w:type="fixed"/>
        <w:tblCellMar>
          <w:top w:w="28" w:type="dxa"/>
          <w:left w:w="28" w:type="dxa"/>
          <w:bottom w:w="28" w:type="dxa"/>
          <w:right w:w="28" w:type="dxa"/>
        </w:tblCellMar>
      </w:tblPr>
      <w:tblGrid>
        <w:gridCol w:w="787"/>
        <w:gridCol w:w="691"/>
        <w:gridCol w:w="696"/>
        <w:gridCol w:w="259"/>
        <w:gridCol w:w="536"/>
        <w:gridCol w:w="134"/>
        <w:gridCol w:w="134"/>
        <w:gridCol w:w="134"/>
        <w:gridCol w:w="134"/>
        <w:gridCol w:w="259"/>
        <w:gridCol w:w="573"/>
        <w:gridCol w:w="189"/>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classification:</w:t>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06705"/>
                <wp:effectExtent l="0" t="0" r="0" b="0"/>
                <wp:wrapNone/>
                <wp:docPr id="123" name="Frame12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 of temporary differences between the tax bases of assets and liabilities and their financial reporting amounts that give rise to the deferred tax assets and deferred tax liabilities as of December 31, 2024 and 2023 are as follows:</w:t>
      </w:r>
    </w:p>
    <w:tbl>
      <w:tblPr>
        <w:tblW w:w="5554" w:type="dxa"/>
        <w:jc w:val="left"/>
        <w:tblInd w:w="0" w:type="dxa"/>
        <w:tblLayout w:type="fixed"/>
        <w:tblCellMar>
          <w:top w:w="28" w:type="dxa"/>
          <w:left w:w="28" w:type="dxa"/>
          <w:bottom w:w="28" w:type="dxa"/>
          <w:right w:w="28" w:type="dxa"/>
        </w:tblCellMar>
      </w:tblPr>
      <w:tblGrid>
        <w:gridCol w:w="1220"/>
        <w:gridCol w:w="1073"/>
        <w:gridCol w:w="1081"/>
        <w:gridCol w:w="271"/>
        <w:gridCol w:w="524"/>
        <w:gridCol w:w="109"/>
        <w:gridCol w:w="109"/>
        <w:gridCol w:w="109"/>
        <w:gridCol w:w="109"/>
        <w:gridCol w:w="271"/>
        <w:gridCol w:w="524"/>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90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 carryforwards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limitation imposed by the TJCA</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Monetization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Orphan Drug and R&amp;D Tax Credits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174 R&amp;D Capitalization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of Royalty Rights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OID and Deferred Financing Cost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OID and Deferred Financing Cost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asset/(liability)</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the Company had federal net operating loss carryforwards of $128,658 and $101,029, respectively, a significant portion of which carryforward for an indefinite period. At December 31, 2024 and 2023, the Company also had state net operating loss carryforwards of $139,189 and $104,478, respectively, which begin expiring in 2034. As a result of the December 2017 U.S. Tax Cuts and Jobs Act (“TCJA”), updated regulations under section 163(j) create new limitations on deductible interest expense. For the year ended December 31, 2024, the Company’s interest expense deduction under 163(j) will be limited for tax purposes based on a calculation of 30% of its EBIT on a tax basis. The Company has determined, based upon available evidence, that is more likely than not that the net deferred tax asset will not be realized and, accordingly, has provided a full valuation allowance against its net deferred tax assets. Valuation allowances of $94,553, and $84,053 have been established at December 31, 2024 and 2023, respectively. The Company may also be subject to the net operating loss utilization provisions of Section 382 of the Internal Revenue Code due to ownership changes. As a result, the use of NOL carry forwards from the current and prior periods are subject to annual limitations.</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TCJA requires taxpayers to capitalize and amortize R&amp;D expenditures under section 174 for tax years beginning after December 31, 2021. For the years ended December 31, 2024 and 2023, the capitalized R&amp;D costs were $17.3 million and $12.6 million, respectively. The Company will amortize these costs for tax purposes over five years if the R&amp;D was performed in the U.S. and over 15 years if the R&amp;D was performed outside the U.S. </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Entities are also required to evaluate, measure, recognize and disclose any uncertain income tax provisions taken on their income tax returns. The Company has analyzed its tax positions and has concluded that there were no uncertain positions as of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06705"/>
                <wp:effectExtent l="0" t="0" r="0" b="0"/>
                <wp:wrapNone/>
                <wp:docPr id="124" name="Frame12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tax benefit and the amount computed by applying the statutory federal income tax rates of 21% to loss before taxes for the years ended December 31, 2024 and 2023, respectively, as follows:</w:t>
      </w:r>
    </w:p>
    <w:tbl>
      <w:tblPr>
        <w:tblW w:w="5852" w:type="dxa"/>
        <w:jc w:val="left"/>
        <w:tblInd w:w="0" w:type="dxa"/>
        <w:tblLayout w:type="fixed"/>
        <w:tblCellMar>
          <w:top w:w="28" w:type="dxa"/>
          <w:left w:w="28" w:type="dxa"/>
          <w:bottom w:w="28" w:type="dxa"/>
          <w:right w:w="28" w:type="dxa"/>
        </w:tblCellMar>
      </w:tblPr>
      <w:tblGrid>
        <w:gridCol w:w="1041"/>
        <w:gridCol w:w="917"/>
        <w:gridCol w:w="921"/>
        <w:gridCol w:w="394"/>
        <w:gridCol w:w="296"/>
        <w:gridCol w:w="472"/>
        <w:gridCol w:w="190"/>
        <w:gridCol w:w="190"/>
        <w:gridCol w:w="190"/>
        <w:gridCol w:w="394"/>
        <w:gridCol w:w="296"/>
        <w:gridCol w:w="551"/>
      </w:tblGrid>
      <w:tr>
        <w:trPr/>
        <w:tc>
          <w:tcPr>
            <w:tcW w:w="10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at statutory rate</w:t>
            </w:r>
          </w:p>
        </w:tc>
        <w:tc>
          <w:tcPr>
            <w:tcW w:w="6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4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5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resulting from:</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to provision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rate change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FDII Deductions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received an ERTC refund of $1,250, which is included in Interest income and other income, net on the Company's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23.    Contingencies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Kentucky Litigation - Humana</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Humana Inc. v. Indivior Inc, Indivior Solutions Inc., Indivior PLC, Reckitt Benckiser Group plc, Reckitt Benckiser Healthcare (UK) Ltd., and Aquestive Therapeutics, Inc.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20, 2021, Humana filed a complaint in state court in Kentucky, alleging conspiracy to violate the RICO Act, fraud under state law, unfair and deceptive trade practices under state law, insurance fraud, and unjust enrichment against the Company relating to Indivior’s launch of Suboxone Sublingual Film in 2010. The Humana action was stayed pending related litigation, and the stay was lifted on October 30, 2023. The parties to this case reached a settlement on November 27 2024, the terms of which are confidential. Aquestive had no obligation, cost or liability in the settlement as all were assumed by Indivior.</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California Litigation</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Neurelis, Inc. v. Aquestive Therapeutics, Inc.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5, 2019, Neurelis, Inc. ("Neurelis") filed a lawsuit against the Company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$156 and ordering Neurelis to pay the fees within 60 days of June 17, 2022. The Court denied the Company’s demurrer and the parties proceeded with discovery on the claims in the Second Amended Complaint. The plaintiff filed a motion to file a third amended complaint. which the Court granted on November 17, 2023. The Third Amended Complaint alleges additional facts but includes the same claims as the Second Amended Complaint. Hearings on motions for summary judgement are scheduled for May 16, 2025. The trial in this matter is scheduled for July 18, 2025. The Company is not able to determine or predict the ultimate outcome of this proceeding or provide a reasonable estimate or range of estimates of the possible outcome or loss, if any, in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06705"/>
                <wp:effectExtent l="0" t="0" r="0" b="0"/>
                <wp:wrapNone/>
                <wp:docPr id="125" name="Frame12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Neurelis FDA Lawsuit</w:t>
      </w:r>
    </w:p>
    <w:p>
      <w:pPr>
        <w:pStyle w:val="TextBody"/>
        <w:bidi w:val="0"/>
        <w:spacing w:lineRule="auto" w:line="288" w:before="0" w:after="120"/>
        <w:jc w:val="both"/>
        <w:rPr/>
      </w:pPr>
      <w:r>
        <w:rPr>
          <w:rFonts w:ascii="Times New Roman;sans-serif" w:hAnsi="Times New Roman;sans-serif"/>
          <w:b w:val="false"/>
          <w:color w:val="000000"/>
          <w:sz w:val="20"/>
          <w:u w:val="single"/>
        </w:rPr>
        <w:t xml:space="preserve">Neurelis, Inc. v. Califf, </w:t>
      </w:r>
      <w:r>
        <w:rPr>
          <w:rFonts w:ascii="Times New Roman;sans-serif" w:hAnsi="Times New Roman;sans-serif"/>
          <w:b w:val="false"/>
          <w:i/>
          <w:color w:val="000000"/>
          <w:sz w:val="20"/>
          <w:u w:val="single"/>
        </w:rPr>
        <w:t>et al</w:t>
      </w:r>
      <w:r>
        <w:rPr>
          <w:rFonts w:ascii="Times New Roman;sans-serif" w:hAnsi="Times New Roman;sans-serif"/>
          <w:b w:val="false"/>
          <w:color w:val="000000"/>
          <w:sz w:val="20"/>
          <w:u w:val="single"/>
        </w:rPr>
        <w:t>.</w:t>
      </w:r>
      <w:r>
        <w:rPr>
          <w:rFonts w:ascii="Times New Roman;sans-serif" w:hAnsi="Times New Roman;sans-serif"/>
          <w:b w:val="false"/>
          <w:color w:val="000000"/>
          <w:sz w:val="20"/>
        </w:rPr>
        <w:t>, U.S. District Court for the District of Columbia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2024, Neurelis filed a complaint in the U.S. District Court for the District of Columbia against the U.S. Food and Drug Administration, the U.S. Department of Health and Human Services, and certain government officials. The complaint in this matter alleges that the defendants violated the Administrative Procedure Act by approving Aquestive’s NDA for Libervant for ARS patients aged between two and five years, and asks the Court to vacate that approval and enjoin the defendants from approving Libervant for this pediatric patient population until January 10, 2027, the scheduled date for the expiration of the U.S. orphan drug market exclusivity granted by the FDA to the Valtoco nasal spray product of Neurelis. Aquestive intervened in this litigation to defend the approval of Libervant for this ARS pediatric patient population and, on June 25, 2024, the Court entered a scheduling order governing further proceedings in the case. Pursuant to that order, Neurelis filed a motion for summary judgment on August 19, 2024; Aquestive and the federal defendants each filed their own cross-motions for summary judgment and opposed Neurelis’s motion for summary judgment on September 18, 2024. Neurelis filed its combined reply brief in support of its motion for summary judgment and in opposition to the defendants’ cross-motions on October 9, 2024, and Aquestive and the federal defendants filed their closing briefs on October 30, 2024. Following the FDA's award of ODE to Libervant for ARS patients between two and five years of age, Neurelis filed a motion for preliminary injunction requesting an expedited order to vacate FDA's approval and enjoining the sale of Libervant. On February 14, 2025, the Court ruled in favor of Neurelis, granting its summary judgment motion, and against the FDA's and Aquestive's cross-motions for summary judgment. In an accompanying opinion, the Court directed the FDA to vacate the approval of Libervant. Because the Court entered a final appealable judgment in favor of Neurelis, Neurelis' motion for an expedited preliminary injunction was denied as moot by the Court. On February 18, 2025, Aquestive filed an appeal of the Court's decision with the U.S. Circuit Court of Appeals for the District of Columbia (the "DC Appellate Court") and, on the same day, filed an emergency motion with the District Court to stay its order pending a decision on the appeal with the DC Appellate Court. The District Court set a scheduling order governing filings of all briefs on the motion for stay, ending on March 5, 2025. No dates have been set for arguments on the stay of the District Court's order or proceedings on the appeal at the DC Appellate Court. The Company is not able to determine or predict the ultimate outcome of this proceeding or provide a reasonable estimate or range of estimates of the possible outcome or loss, if any, in this matter.</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Suboxone Product Liability Litigation</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named as a defendant in a multitude of product liability lawsuits, along with Indivior and several other named defendants, in which the individual plaintiffs in those cases allege that their use of Suboxone® Sublingual Film, a prescription drug product for opioid use disorder, caused them dental injuries. On February 2, 2024, this litigation became a Multidistrict Litigation (“MDL") consolidated in the U.S District Court for the Northern District of Ohio. One case alleging the same allegations as contained in the MDL has been filed in a state court in the State of New Jersey. The parties to the MDL have agreed to a tolling of unfiled claimants in several states. Indivior has agreed to defend the Company in these litigation matters. Discovery is underway and no trial date has been set in the MDL matter. The Company's motion to dismiss the MDL matter was granted as to all claims by plaintiffs except design defect claims. The Company is not able to determine or predict the ultimate outcome of this litigation or provide a reasonable estimate or range of estimates of the possible outcome or loss, if any, in this matter.</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named as a defendant in three proposed class action lawsuits filed in Canada, along with Indivior and several other named defendants, in which the individual plaintiffs in those cases allege that their use of Suboxone® products caused them dental injuries. two of these cases have been filed in British Columbia, and the plaintiffs in those cases are seeking assignment of a case management judge. The anticipated next step in British Columbia will involve applications by the plaintiffs to determine which of the two cases will proceed towards a certification hearing and which will be stayed. The third case has been filed in Quebec and is proceeding towards an authorization hearing, the date of which has not yet been set. The authorization and certification hearings will determine whether the Courts will allow the cases to proceed as class actions. Pre-discovery and case management proceedings are underway and no trial date has yet been set. Given the early stages of these proceedings, the Company is not able to determine or predict the ultimate outcome of this litigation or provide a reasonable estimate or range of estimates of the possible outcome or loss, if any, in this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24.    Subsequent Events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Utilization of the At-The-Market Facility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period subsequent to December 31, 2024 through March 5, 2025, the Company sold 7,457,627 shares under its ATM facility, which generated net proceeds of approximately $21,400 net of commissions of $605. The remaining authorized balance of the ATM facility was $78,000 as of March 5, 2025.</w:t>
      </w:r>
    </w:p>
    <w:p>
      <w:pPr>
        <w:pStyle w:val="TextBody"/>
        <w:bidi w:val="0"/>
        <w:spacing w:before="0" w:after="120"/>
        <w:jc w:val="left"/>
        <w:rPr/>
      </w:pPr>
      <w:r>
        <w:rPr/>
      </w:r>
    </w:p>
    <w:p>
      <w:pPr>
        <w:pStyle w:val="TextBody"/>
        <w:bidi w:val="0"/>
        <w:spacing w:before="0" w:after="0"/>
        <w:jc w:val="center"/>
        <w:rPr/>
      </w:pPr>
      <w:bookmarkStart w:id="0" w:name="insidertradingpolicyfeb2.htm"/>
      <w:bookmarkStart w:id="1" w:name="ksinsidertradingpolicyfeb2"/>
      <w:bookmarkEnd w:id="0"/>
      <w:bookmarkEnd w:id="1"/>
      <w:r>
        <w:rPr/>
        <w:drawing>
          <wp:inline distT="0" distB="0" distL="0" distR="0">
            <wp:extent cx="10048875" cy="13001625"/>
            <wp:effectExtent l="0" t="0" r="0" b="0"/>
            <wp:docPr id="12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06705"/>
                <wp:effectExtent l="0" t="0" r="0" b="0"/>
                <wp:wrapNone/>
                <wp:docPr id="127" name="Frame12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F-38</w:t>
                      </w:r>
                    </w:p>
                  </w:txbxContent>
                </v:textbox>
                <w10:wrap type="none"/>
              </v:rect>
            </w:pict>
          </mc:Fallback>
        </mc:AlternateContent>
      </w:r>
    </w:p>
    <w:p>
      <w:pPr>
        <w:pStyle w:val="TextBody"/>
        <w:bidi w:val="0"/>
        <w:jc w:val="center"/>
        <w:rPr>
          <w:color w:val="FFFFFF"/>
          <w:sz w:val="2"/>
        </w:rPr>
      </w:pPr>
      <w:r>
        <w:rPr>
          <w:color w:val="FFFFFF"/>
          <w:sz w:val="2"/>
        </w:rPr>
        <w:t xml:space="preserve">AQUESTIVE THERAPEUTICS, INC. INSIDER TRADING POLICY (Amendment Approved by Board, Effective October 19, 2023) The purpose of this policy (the “Policy”) o f Aquestive Therapeutics, Inc. (the “Company”) is to establish Company policy and expectations with respect to compliance with securities laws and regulations relating to trading in Company securities, as well as trading in the securities of other companies with whom the Company does business. The U.S. securities laws prohibit trading by any person or entity in the securities of any company, including Company securities, while in possession of material, non-public information about that company, as well as passing on material, non-public information to others who may trade on that information. These types of transactions are commonly known as “insider trading” and “tipping.” These laws are intended to ensure that everyone trading in a company’s securities has equal access to material information about the issuer of those securities. Preventing insider trading is necessary to comply with the securities laws as well as to preserve the Company’s reputation and integrity. Insider trading is a crime. The penalties for violating insider trading laws include imprisonment, disgorgement of profits, civil fines, and criminal fines of up to $5 million for individuals and $25 million for companies. Insider trading is also prohibited by this Policy, and violation of this Policy may result in Company-imposed sanctions, including removal or dismissal for cause or other disciplinary action. POLICY This Policy applies to all officers, directors, employees (or “colleagues”) of, or consultants or contractors to, the Company (“Insider(s)”). No Insider shall engage in any transaction involving a purchase or sale of Company securities, including any offer to purchase or offer to sell during any period that the Insider possesses material non-public information concerning the Company. It does not matter whether the inside information was obtained in the course of employment at or while providing services as an Insider or by any other means. No Insider may trade in securities of any public corporation with which the Company has a business relationship, including but not limited to customers and suppliers, if the Insider has material non-public information relating to the Company’s business partner. Insiders should treat material non-public information about the Company’s business partners with the same care required with respect to information related to the Company. Insiders must not pass on to others inside information about the Company or recommend the purchase or sale of securities while in possession of material non-public information (even if the information itself is not disclosed), nor shall such Insider make recommendations or express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opinions on the basis of material non-public information as to the trading in Company securities. If that third party trades in Company securities, the Insider who communicated the information (as well as the third party) may be personally liable for violations of the securities laws. This practice, known as “tipping,” violates the securities laws and also can result in the same civil and criminal penalties that apply to insider trading, whether or not the Insider personally derives any benefit from the third party’s actions. Inside information must never be passed on or “tipped” to family members, other colleagues, consultants, outside advisors or others who do not need to know the information. This includes communications in Internet chat rooms, message boards, blogs and via any other social media. There are no exceptions to this Policy, except as specifically noted below. Transactions that may be necessary or justifiable for independent reasons (such as the need to raise money for a large expense, such as a home purchase or college tuition costs, or even an emergency expenditure), as well as small transactions, are not excepted from this Policy. The securities laws do not recognize any such mitigating circumstances. For purposes of this Policy: “Securities” includes stocks, bonds, notes, debentures, options, warrants and other convertible securities, as well as derivative instruments. “Purchase” and “Sale” are defined broadly under the federal securities laws.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cash-for-stock transactions, conversions, and acquisitions and exercises of warrants or puts, calls, options or other derivative securities. Information is “material” if its disclosure could reasonably be expected to have an effect on the price of a company’s securities or is likely to be considered important by a reasonable investor in determining whether to buy or sell such securities. Common examples of information that will frequently be regarded as “material” include: • earnings or revenue information or projections (or other financial “outlook,” prospects, or “guidance”) as well as non-public changes in outlook, prospects or guidance; • revisions to or possible restatement of financial statements; • receipt or loss of a significant contract or significant business; • significant mergers, acquisitions, joint ventures, alliances or divestitures even if pending, proposed or preliminary in nature; • news of any significant sale or purchase of assets or the disposition of a subsidiary; • significant new products or product development milestones (such as clinical trial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or FDA approvals or other FDA actions or significant FDA communications); • the initiation of, termination of, or material development in a material litigation or government investigation; • financial or liquidity problems; • a significant cybersecurity incident; • changes in senior management or in the Board of Directors; • changes in dividend policies or the declaration of a dividend or stock split; • any other information which could result in material market share and/or revenue gains or losses; or • other information which can reasonably be expected to affect the trading price of Company securities. Information is considered “non-public” if it has not been disseminated in a manner making it available to investors generally, such as through disclosure in a company’s annual or quarterly report filed with the Securities and Exchange Commission (SEC), inclusion in a company press release, or otherwise widely reported in the media, and investors have had a reasonable period of time to react to the information. Generally, at least two (2) trading days following the dissemination of the information to the public is sufficient time for information to no longer be considered “non-public.” A “trading day” is a day on which national stock exchanges are open for trading. If there is any uncertainty about whether certain information is material non-public information, the Company’s Compliance Officer should be consulted before engaging in any transaction which may be prohibited by this Policy. This Policy applies to the family members of Insiders who reside with them (including a spouse, a child away at college, stepchildren, grandchildren, parents, stepparents, grandparents, siblings and in- laws), anyone else who lives in their household, and any family members who do not live in their household but whose transactions in Company securities are directed by the Insider or are subject to their influence or control, such as parents or children who consult with them before they trade in Company securities. Each Insider is responsible for the transactions of these other persons and therefore should make them aware of the need to confer with such Insider before they trade in Company securities, and such Insider should treat all such transactions for purposes of this Policy and the applicable securities laws as if the transactions were for his or her own account. This Policy does not, however, apply to personal securities transactions of family members where the purchase or sale decision is made by a third party not controlled by, influenced by or related to the Insider or his or her family members. This Policy applies to any entities that an Insider influences or controls, including any corporations, partnerships or trusts, and transactions by these controlled entities should be treated for the purposes of this Policy and applicable securities laws as if they were for the account of such Insider. Accordingly, all references to Insiders with regard to all trading restrictions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pre-clearance procedures in this Policy also apply to the persons and entities identified in the paragraph above as being subject to this Policy. Insiders are personally responsible for the actions of all such persons and entities. For all former or retired personnel, this Policy will continue to apply until after the second (2nd) full trading day after any material non-public information known to such persons has become public or is no longer material. This Policy extends to all activities within and outside an individual’s Company duties. Every Insider must review this Policy. Questions regarding the Policy should be directed to the Company’s Compliance Officer. Consequences of Insider Trading The consequences for insider trading violations can be severe for both individuals and companies. For example, the SEC has imposed large financial penalties on tippees even in cases in which they did not profit financially from the tipper’s insider trading. Individuals who violate the law may face: • a civil penalty of up to three times the profit gained or loss avoided; • a criminal fine (no matter how small the profit) of up to $5 million; and • a jail term of up to twenty years. Companies, as well as any supervisory persons, that fail to take appropriate steps to prevent illegal trading may face: • a civil penalty equal to the greater of approximately $2 million or three times the profit gained or loss avoided as a result of the individual’s violation; and • a criminal penalty of up to $25 million. Blackout Periods All Insiders who are made subject to a “blackout period” are prohibited from trading in Company securities during such periods. There are two general types of “blackout periods” – event- specific blackout periods and quarterly blackout periods, each as described below. Event-Specific Blackout Periods The Compliance Officer may issue instructions from time to time advising some or all Company personnel that they may not buy or sell Company securities for certain periods, or that Company securities may not be traded without prior approval. Due to the confidential nature of the events that may trigger these sorts of blackout periods, the Compliance Officer may find it necessary to inform affected individuals of a blackout period without disclosing the reason. If an Insider is made aware of such a blackout period, he or she must not disclose its existence to anyone.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Even if no blackout period is in effect, an Insider may not trade in Company securities or those of another publicly traded company if such Insider is aware of material non-public information about the Company or such other company, respectively. Quarterly Trading Windows/Blackout Periods for Directors, Officers and Designated Individuals In addition to event specific blackout periods, if an Insider is a director or officer of the Company, or another individual designated in Appendix 1 (“Designated Individual”), he or she can trade in Company securities only during the period that starts after the second (2nd) full trading day following the release of the Company’s annual and quarterly earnings, as applicable, and continuing through the period ending on the close of market fifteen (15) days prior to the end of each fiscal quarter (the “open window period”), and only so long as such Insider does not have any material non-public information about the Company. Because directors, officers, and Designated Individuals are especially likely to receive regular non-public information regarding the Company’s operations, limiting trading to this “window period” helps ensure that trading is not based on material information that is not available to the public. The closed window period outside of the open window period is the quarterly blackout period. Before trading in Company securities during an open window period, directors, officers, and Designated Individuals must also comply with the pre-clearance procedures discussed below. Pre-Clearance Procedures for Directors, Officers, and Designated Individuals No director, officer or Designated Individuals may buy, sell, or engage in any other transaction in Company securities without first obtaining email pre-clearance from the Compliance Officer to confirm that the window period is open and that trading by such person in Company securities is permissible. Specifically: • A request to execute any proposed transaction should be submitted to the Compliance Officer by email at least three (3) trading days in advance of the date such person intends to transmit the instructions to execute any such proposed transaction. The request should include the expected transaction execution date as well as a brief description of the nature of the transaction and number of securities involved. • Before any trade, the Compliance Officer must confirm by email that the window period is open and will remain open for the period during which the trade is expected to occur. • Pre-cleared trades must be completed within five (5) full trading days of receipt of pre- clearance unless an exception is granted by the Compliance Officer. Transactions not completed within the time limit are subject to pre-clearance again. • Any pre-clearance approval must not have been revoked by email notice from the Compliance Officer at the time such officer, director or Designated Individual executes the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 The Compliance Officer is under no obligation to approve a transaction submitted for pre-clearance and may determine not to permit the transaction. If an officer, director or Designated Individual seeks pre-clearance and permission to engage in the transaction and is denied, he or she should refrain from initiating any transaction in Company securities and should not inform any other person of the restriction. • Every officer, director and Designated Individual is responsible for ensuring that he or she does not have material non-public information about the Company before engaging in a transaction and that he or she complies with all other legal obligations. Therefore, when a request for pre-clearance is made, such person should carefully consider whether he or she is aware of any material non-public information about the Company and should describe fully those circumstances to the Compliance Officer. • If an officer, director or Designated Individual is subject to the requirements of Section 16 of the Securities Exchange Act of 1934, as amended (“Exchange Act”), such person should also consider whether he or she has effected any non-exempt transactions within the past six (6) months. In addition, such person should consider whether he or she is required by the securities laws to comply with SEC Rule 144 under the Securities Act of 1933, as amended (“Securities Act”), including the requirement to file SEC Form 144. • The Compliance Officer’s approval of a transaction submitted for pre-clearance does not constitute legal advice, does not constitute confirmation that such officer, director or Designated Individual does not possess material non-public information, and does not relieve such person of any of his or her legal obligations. • The Compliance Officer may not trade in Company securities unless the Chief Executive Officer, Chief Financial Officer, or General Counsel (if different from the Compliance Officer), has approved the trade in accordance with this Policy’s procedures. Prohibited and Limited Transactions Certain types of transactions increase the Company’s exposure to legal risks and may create the appearance of improper or inappropriate conduct. Therefore, Insiders may not engage in any of the following transactions, even if they do not possess material non-public information: • Short sales of stock. “Short” sales of stock are transactions where an individual borrows stock, sells it, and then buys stock at a later date to replace the borrowed shares. In addition, Section 16(c) of the Exchange Act prohibits officers and directors from engaging in short sales. These also include hedging or monetization transactions (such as zero-cost collars and forward sale contracts) that involve the establishment of a short position. See “Hedging transactions” below for more information. • Publicly traded options. A put is an option or right to sell a specific stock at a specific price before a set date, and a call is an option or right to buy a specific stock at a specific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price before a set date. Generally, call options are purchased when one believes that the price of a stock will rise, whereas put options are purchased when one believes that the price of a stock will fall. Because publicly traded options have a relatively short term, transactions in options may create the appearance that trading is based on material non-public information. Accordingly, any transactions in put options, call options or other derivative securities involving Company stock are prohibited by this Policy. • Hedging transactions. Hedging or monetization transactions are accomplished through the use of various financial instruments, including prepaid variable forwards, equity swaps, collars, exchange funds and any other instrument designed to hedge or offset any decrease in the market value of Company securities. These transactions permit continued ownership of a company’s securities without the full risks and rewards of ownership. When that occurs, a person entering into this type of transaction may no longer have the same objectives as a company’s other shareholders. Accordingly, all forms of hedging and monetization transactions in Company securities are prohibited. • Short-term trading. Under Section 16(b) of the Exchange Act, officers and directors who purchase (or sell) Company securities generally may not sell (or purchase) any such securities of the same class for at least six months after the purchase (or sale). • Margin accounts and pledged securities. Securities held in a margin account or pledged as collateral can be sold without the owner’s consent in certain circumstances. This means that a margin sale or foreclosure sale may occur at a time when the pledgor is aware of material non-public information. Consequently, margin accounts for Company securities and pledges of Company securities are prohibited. Gifts This Policy applies to gifts of Company securities and any other transfers of Company securities for no consideration. Accordingly, gifts of Company securities should not be made (i) during a blackout period or (ii) when the person making the gift otherwise possesses material non- public information regarding the Company. Persons subject to pre-clearance must pre-clear gifts and other transfers of Company securities for no consideration. Special Types of Permitted Transactions There are limited situations in which an Insider may buy, sell or otherwise acquire or dispose of Company securities without restriction under this Policy. Unless otherwise noted below, the following are permitted transactions: • Vesting. Allows for the “vesting” of restricted stock, restricted stock units and other equity awards; • Share Tax Withholding by Company. Upon vesting of restricted stock, restricted stock units or other equity awards, shares underlying the award then vesting may be withheld by the Company to satisfy the Insider’s tax withholding obligation to the extent expressly permitted by the Company in the award agreement or otherwise (but this does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include any open market sales of stock to pay the withholding tax payable on vesting); • Certain Stock Option Exercises. Exercise stock options that have been granted to an Insider under a Company equity incentive plan, including any right such Insider may have (if applicable) to have the Company withhold shares of stock to satisfy tax withholding requirements or the exercise price of the option (but this does not include broker-assisted cashless exercises or open market sales of the purchased option shares); To be clear, broker-assisted “cashless exercises” of stock options (which are the most common manner in which stock options are exercised and which involve the broker selling into the open market, on the owner’s behalf, a sufficient number of option shares to satisfy the option exercise price and/or required tax withholding) are subject to this Policy and are considered sales into the open market; • Rule 10b5-1 Trading Plan. Buying or selling Company securities pursuant to an approved Rule 10b5-1 trading program, as described below; • Company Stock Fund. Making purchases of Company securities through an Insider’s participation in the Company's 401(k) plan or other Company retirement savings plan (assuming there is a Company stock fund in the plan); provided that the purchases result from periodic plan deferrals pursuant to payroll deductions. This Policy does apply, however, to certain elections Insiders may make under the 401(k) plan, including elections: (1) to change the percentage of an Insider’s periodic contributions that will be allocated to any such Company stock fund; (2) to make a transfer of an existing account balance to or from any such Company stock fund; (3) to borrow money against an Insider’s 401(k) plan account to the extent the loan requires the sale of any Company securities underlying any Company stock fund balance; and (4) to pre-pay a plan loan if the pre-payment will result in allocation of loan proceeds to any such Company stock fund; • Employee Stock Purchase Plan. Purchases of Company securities under any Company employee stock purchase plan the Company may establish, through periodic contributions to the plan in accordance with the election an Insider made at enrollment. This Policy does apply, however, to an Insider’s election to participate in the plan or to change his or her level of contributions under the plan for any enrollment period and also to any sales into the open market of Company securities purchased pursuant to the plan; and • Dividend Reinvestment Plan. Purchases of any Company securities under any dividend reinvestment plan the Company may establish, resulting from an Insider’s reinvestment of any dividends paid on Company securities. Voluntary purchases of Company securities resulting from additional contributions an Insider makes to the dividend reinvestment plan, and to such Insider’s election to participate in the plan or increase the level of participation in the plan are subject to this Policy. This Policy also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applies to Insiders’ sales into the open market of any Company securities purchased pursuant to the plan. Additional Guidelines and Related Requirements Rule 10b5-1 Trading Plans Rule 10b5-1 under the Exchange Act provides a defense from insider trading liability under Rule 10b-5. If an Insider subject to this Policy wishes to rely on this defense, they must enter into an approved Rule 10b5-1 trading plan as specified in Appendix 2 to this Policy and meet certain conditions specified in the Rule. See Appendix 2 for more information. Reports of Purchases and Sales/Section 16 of Exchange Act If an Insider is a director, an executive officer, or another reporting person under Section 16 of the Exchange Act, (1) keep in mind the various restrictions on securities trading imposed under Section 16 of the Exchange Act and the applicable reporting requirements of the SEC and (2) such Insider must immediately report (no later than same day) all transactions made in Company securities by him or her, any family members, and any entities that he or she controls subject to this Policy. All such reports shall be sent via email at sharetransactions@aquestive.com. The Company requires same-day reporting due to SEC requirements that insider reports be filed with the SEC by the second (2nd) business day after the date on which a reportable transaction occurs. Disclosure Restrictions No Tipping Insiders must not communicate (or “tip”) material non-public information concerning the Company to other persons before it is publicly disclosed and disseminated by the Company. Therefore, Insiders should exercise care when speaking with other Company personnel who do not have a “need to know” and when communicating with family, friends and others who are not associated with the Company. To avoid even the appearance of impropriety, Insiders should refrain from discussing the Company’s business or prospects or making recommendations about buying or selling Company securities or the securities of other companies with which the Company has a relationship. This concept of unlawful tipping includes passing on information to friends, family members or acquaintances. Internet Message Boards, Chat, Rooms, and Discussion Groups In an effort to prevent unauthorized disclosure of information regarding the Company, Insiders are prohibited from posting, or responding to any posting, with respect to Company information on Internet message boards, chat rooms, discussion groups, or other social media forums. Keep in mind that any inquiries about the Company should be directed to Legal or the Company’s Investor Relations Advisor at Astr Partners, Brian Korb (brian.korb@astrpartners.com).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10 Effective; Amendments This Policy shall remain in effect unless modified or replaced by action of the Chief Executive Officer and the Compliance Officer of the Company, with the approval of the Chair of the Audit Committee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 Page 1 Appendix 1: Designated Individuals The Company’s Designated Individuals for purposes of its policy on insider trading are: • Leadership Team • Extended Leadership Team (direct reports to the Leadership Team) • All colleagues in the Finance function • All administrative support The Compliance Officer may alter this list of Designated Individuals at any time, in which case the Compliance Officer will provide oral or written notice to any individuals to be added or removed from this list.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4"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FAQs Page 1 Appendix 2: Rule 10b5-1 Trading Plans Officers, Directors, and Other Identified Individuals Rule 10b5-1 under the Exchange Act can protect officers, directors, and other individuals from insider trading liability for transactions under a previously established contract, plan, or instruction. This rule presents an opportunity for Insiders to establish arrangements to sell (or purchase) Company securities without the sometimes arbitrary restrictions imposed by closed trading periods - even when material non-public information exists. The arrangements may include sales into the open market (or purchases from the open market), pre-scheduled stock option exercises and sales, pre-arranged trading instructions, and other brokerage and third-party arrangements. The rule only provides an “affirmative defense” (which must be proven) if there is an insider trading lawsuit or claim against an Insider. It does not prevent anyone from bringing a lawsuit or claim, nor does it prevent the media from writing about the sales. In general, a Rule 10b5-1 plan must meet the following requirements: • A Rule 10b5-1 plan must be entered into at a time when the person entering into the plan is not aware of material non-public information. • Once the plan is adopted, the person must not exercise any influence over the amount of securities to be traded, the price at which they are to be traded or the date of the trade. • The plan must either specify the amount, pricing and timing of transactions in advance or delegate discretion on these matters to an independent third party. • The plan must include a cooling-off period before trading can commence that, for directors or officers, ends on the later of 90 days after the adoption or modification of the Rule 10b5- 1 plan or two business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 A person may not enter into overlapping Rule 10b5-1 plans (subject to certain exceptions) and may only enter into one single-trade Rule 10b5-1 plan during any 12-month period (subject to certain exceptions). • Directors and officers must include a representation in their Rule 10b5-1 plan certifying that: (i) they are not aware of any material non-public information; and (ii) they are adopting the plan in good faith and not as part of a plan or scheme to evade the prohibitions in Rule 10b-5. • All persons entering into a Rule 10b5-1 plan must act in good faith with respect to that plan. In order to reduce the risk of litigation or claims and adverse press, and to assist the Company in maintaining its reputation, if an Insider would like to use such a plan: • the Compliance Officer must pre-approve such 10b5-1 plan (which would include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5"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FAQs Page 2 plan, arrangement, or trading instructions relating to Company securities, such as discretionary accounts with banks or brokers, limit orders or other arrangements) prior to entry into or modification of the plan; • to facilitate this pre-approval process, the Insider must submit a copy of the proposed 10b5- 1 plan at least three (3) full trading days in advance of the date the Insider proposes to enter into the plan, and once approval is given, the Insider must enter into the approved 10b5-1 plan within five (5) full trading days after the date of approval (otherwise, a new pre- clearance request is required); • the Compliance Officer must also approve the time period between (1) the date the plan is established (or modified) and (2) when transactions under the plan may first occur; and • Insiders may not establish or modify the program during any closed trading periods or when he or she possesses material non-public information. Establishing a trading program under Rule 10b5-1 is likely to implicate other laws, such as Section 16 of the Exchange Act and Rule 144 under the Securities Act. Under Section 16 generally, a report on Form 4 must be filed with the SEC by the second (2nd) business day following the execution date of a transaction under a Rule 10b5-1 trading program. A transaction under a Rule 10b5- 1 trading program could also be subject to short-swing profit recovery under Section 16(b). Additionally, sales of Company securities under SEC Rule 144 require the filing of a Form 144 with the SEC, which must be properly tailored to address sales under such a program. Therefore, if an Insider establishes such a program, he or she will need to establish a procedure with the party handling their transactions to ensure: • timely filings of a Form 4 with the SEC after a transaction has taken place (failure to file on time results in unwanted proxy statement disclosure of an Insider’s filing violations); and • compliance with Rule 144 at the time of any sale. As mentioned above, Rule 10b5-1 is an SEC rule. There will be ongoing interpretations of what can and cannot be done. Insiders should consult their own tax and legal advisers before establishing a trading program under Rule 10b5-1. Notice to the Company is essential before establishing a Rule 10b5-1 trading program. Please contact the Compliance Officer with any questions.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 333-226399, 333-251984, 333-262051, 333-269292, 333-273857, 333-277015 and 333-284490) on Form S-8 and (No. 333-274609 and 333-278498) on Form S-3 of our report dated March 5, 2025, with respect to the financial statements of Aquestive Therapeutics, Inc.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 Hills, New Jersey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2025</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 of Aquestive Therapeutics,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 </w:t>
      </w:r>
      <w:r>
        <w:rPr>
          <w:rFonts w:ascii="Times New Roman;sans-serif" w:hAnsi="Times New Roman;sans-serif"/>
          <w:b w:val="false"/>
          <w:color w:val="000000"/>
          <w:sz w:val="20"/>
        </w:rPr>
        <w:t>Daniel Barber</w:t>
      </w:r>
      <w:r>
        <w:rPr>
          <w:rFonts w:ascii="Times New Roman;sans-serif" w:hAnsi="Times New Roman;sans-serif"/>
          <w:b w:val="false"/>
          <w:color w:val="000000"/>
          <w:sz w:val="18"/>
        </w:rPr>
        <w:t>, certify that:</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Aquestive Therapeutics, Inc.;</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hanging="540"/>
        <w:jc w:val="left"/>
        <w:rPr/>
      </w:pPr>
      <w:r>
        <w:rPr/>
      </w:r>
    </w:p>
    <w:tbl>
      <w:tblPr>
        <w:tblW w:w="4395" w:type="dxa"/>
        <w:jc w:val="left"/>
        <w:tblInd w:w="0" w:type="dxa"/>
        <w:tblLayout w:type="fixed"/>
        <w:tblCellMar>
          <w:top w:w="28" w:type="dxa"/>
          <w:left w:w="28" w:type="dxa"/>
          <w:bottom w:w="28" w:type="dxa"/>
          <w:right w:w="28" w:type="dxa"/>
        </w:tblCellMar>
      </w:tblPr>
      <w:tblGrid>
        <w:gridCol w:w="574"/>
        <w:gridCol w:w="506"/>
        <w:gridCol w:w="510"/>
        <w:gridCol w:w="817"/>
        <w:gridCol w:w="817"/>
        <w:gridCol w:w="1171"/>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March 5, 2025</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Daniel Barber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Daniel Barber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Chief Executive Officer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Financial Officer of Aquestive Therapeutics,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A. Ernest Toth, Jr., certify that:</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Aquestive Therapeutics, Inc.;</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54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779" w:type="dxa"/>
        <w:jc w:val="left"/>
        <w:tblInd w:w="0" w:type="dxa"/>
        <w:tblLayout w:type="fixed"/>
        <w:tblCellMar>
          <w:top w:w="28" w:type="dxa"/>
          <w:left w:w="28" w:type="dxa"/>
          <w:bottom w:w="28" w:type="dxa"/>
          <w:right w:w="28" w:type="dxa"/>
        </w:tblCellMar>
      </w:tblPr>
      <w:tblGrid>
        <w:gridCol w:w="574"/>
        <w:gridCol w:w="506"/>
        <w:gridCol w:w="510"/>
        <w:gridCol w:w="641"/>
        <w:gridCol w:w="641"/>
        <w:gridCol w:w="907"/>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March 5, 2025</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 ERNEST TOTH, JR.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A.Ernest Toth, Jr.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18 U.S.C. Section 1350, as Adopted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18"/>
        </w:rPr>
        <w:t xml:space="preserve">Pursuant to the requirement set forth in Rule 13a-14(b) of the Securities Exchange Act of 1934, as amended (the “Exchange Act”), and Section 1350 of Chapter 63 of Title 18 of the United States Code (18 U.S.C. §1350), I, </w:t>
      </w:r>
      <w:r>
        <w:rPr>
          <w:rFonts w:ascii="Times New Roman;sans-serif" w:hAnsi="Times New Roman;sans-serif"/>
          <w:b w:val="false"/>
          <w:color w:val="000000"/>
          <w:sz w:val="20"/>
        </w:rPr>
        <w:t>Daniel Barber</w:t>
      </w:r>
      <w:r>
        <w:rPr>
          <w:rFonts w:ascii="Times New Roman;sans-serif" w:hAnsi="Times New Roman;sans-serif"/>
          <w:b w:val="false"/>
          <w:color w:val="000000"/>
          <w:sz w:val="18"/>
        </w:rPr>
        <w:t>, Chief Executive Officer of Aquestive Therapeutics, Inc., (the “Company”), hereby certify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18"/>
        </w:rPr>
        <w:t xml:space="preserve">1.The Company’s Annual Report on Form 10-K for the </w:t>
      </w:r>
      <w:r>
        <w:rPr>
          <w:rFonts w:ascii="Times New Roman;sans-serif" w:hAnsi="Times New Roman;sans-serif"/>
          <w:b w:val="false"/>
          <w:color w:val="000000"/>
          <w:sz w:val="20"/>
        </w:rPr>
        <w:t>year ended December 31, 2024</w:t>
      </w:r>
      <w:r>
        <w:rPr>
          <w:rFonts w:ascii="Times New Roman;sans-serif" w:hAnsi="Times New Roman;sans-serif"/>
          <w:b w:val="false"/>
          <w:color w:val="000000"/>
          <w:sz w:val="18"/>
        </w:rPr>
        <w:t>, to which this Certification is attached as Exhibit 32.1 (the “Annual Report”), fully complies with the requirements of Section 13(a) or Section 15(d) of the Exchange Act;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Annual Report fairly presents, in all material respects, the financial condition of the Company at the end of the period covered by the Annual Report and the results of operations of the Company for the period covered by the Annual Report.</w:t>
      </w:r>
    </w:p>
    <w:p>
      <w:pPr>
        <w:pStyle w:val="TextBody"/>
        <w:bidi w:val="0"/>
        <w:spacing w:before="0" w:after="0"/>
        <w:jc w:val="both"/>
        <w:rPr/>
      </w:pPr>
      <w:r>
        <w:rPr/>
      </w:r>
    </w:p>
    <w:tbl>
      <w:tblPr>
        <w:tblW w:w="4395" w:type="dxa"/>
        <w:jc w:val="left"/>
        <w:tblInd w:w="0" w:type="dxa"/>
        <w:tblLayout w:type="fixed"/>
        <w:tblCellMar>
          <w:top w:w="28" w:type="dxa"/>
          <w:left w:w="28" w:type="dxa"/>
          <w:bottom w:w="28" w:type="dxa"/>
          <w:right w:w="28" w:type="dxa"/>
        </w:tblCellMar>
      </w:tblPr>
      <w:tblGrid>
        <w:gridCol w:w="574"/>
        <w:gridCol w:w="506"/>
        <w:gridCol w:w="510"/>
        <w:gridCol w:w="817"/>
        <w:gridCol w:w="817"/>
        <w:gridCol w:w="1171"/>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March 5, 2025</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Daniel Barber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Daniel Barber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Chief Executive Officer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r>
    </w:tbl>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This certification accompanies the Form 10-K to which it relates, is not deemed filed with the Securities and Exchange Commission and is not to be incorporated by reference into any filing of Aquestive Therapeutics,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Financial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18 U.S.C. Section 1350, as Adopted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18"/>
        </w:rPr>
        <w:t xml:space="preserve">1.The Company’s Annual Report on Form 10-K for the </w:t>
      </w:r>
      <w:r>
        <w:rPr>
          <w:rFonts w:ascii="Times New Roman;sans-serif" w:hAnsi="Times New Roman;sans-serif"/>
          <w:b w:val="false"/>
          <w:color w:val="000000"/>
          <w:sz w:val="20"/>
        </w:rPr>
        <w:t>year ended December 31, 2024</w:t>
      </w:r>
      <w:r>
        <w:rPr>
          <w:rFonts w:ascii="Times New Roman;sans-serif" w:hAnsi="Times New Roman;sans-serif"/>
          <w:b w:val="false"/>
          <w:color w:val="000000"/>
          <w:sz w:val="18"/>
        </w:rPr>
        <w:t>, to which this Certification is attached as Exhibit 32.2 (the “Annual Report”), fully complies with the requirements of Section 13(a) or Section 15(d) of the Exchange Act;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Annual Report fairly presents, in all material respects, the financial condition of the Company at the end of the period covered by the Annual Report and the results of operations of the Company for the period covered by the Annual Report.</w:t>
      </w:r>
    </w:p>
    <w:p>
      <w:pPr>
        <w:pStyle w:val="TextBody"/>
        <w:bidi w:val="0"/>
        <w:spacing w:before="0" w:after="0"/>
        <w:jc w:val="both"/>
        <w:rPr/>
      </w:pPr>
      <w:r>
        <w:rPr/>
      </w:r>
    </w:p>
    <w:tbl>
      <w:tblPr>
        <w:tblW w:w="3779" w:type="dxa"/>
        <w:jc w:val="left"/>
        <w:tblInd w:w="0" w:type="dxa"/>
        <w:tblLayout w:type="fixed"/>
        <w:tblCellMar>
          <w:top w:w="28" w:type="dxa"/>
          <w:left w:w="28" w:type="dxa"/>
          <w:bottom w:w="28" w:type="dxa"/>
          <w:right w:w="28" w:type="dxa"/>
        </w:tblCellMar>
      </w:tblPr>
      <w:tblGrid>
        <w:gridCol w:w="574"/>
        <w:gridCol w:w="506"/>
        <w:gridCol w:w="510"/>
        <w:gridCol w:w="641"/>
        <w:gridCol w:w="641"/>
        <w:gridCol w:w="907"/>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March 5, 2025</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 ERNEST TOTH, JR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A.Ernest Toth, Jr.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w:t>
            </w:r>
          </w:p>
        </w:tc>
      </w:tr>
    </w:tbl>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This certification accompanies the Form 10-K to which it relates, is not deemed filed with the Securities and Exchange Commission and is not to be incorporated by reference into any filing of Aquestive Therapeutics,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0"/>
        <w:jc w:val="both"/>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hyperlink" Target="https://www.sec.gov/Archives/edgar/data/1398733/000114036118033895/s002128x30_ex3-1.htm" TargetMode="External"/><Relationship Id="rId5" Type="http://schemas.openxmlformats.org/officeDocument/2006/relationships/hyperlink" Target="https://www.sec.gov/Archives/edgar/data/1398733/000162828024042948/aquestiveamendedandresta.htm" TargetMode="External"/><Relationship Id="rId6" Type="http://schemas.openxmlformats.org/officeDocument/2006/relationships/hyperlink" Target="https://www.sec.gov/Archives/edgar/data/1398733/000114036118030141/s002128x4_ex4-1.htm" TargetMode="External"/><Relationship Id="rId7" Type="http://schemas.openxmlformats.org/officeDocument/2006/relationships/hyperlink" Target="https://www.sec.gov/Archives/edgar/data/1398733/000114036119012961/ex4_1.htm" TargetMode="External"/><Relationship Id="rId8" Type="http://schemas.openxmlformats.org/officeDocument/2006/relationships/hyperlink" Target="https://www.sec.gov/Archives/edgar/data/1398733/000114036121007811/brhc10021358_ex4-3.htm" TargetMode="External"/><Relationship Id="rId9" Type="http://schemas.openxmlformats.org/officeDocument/2006/relationships/hyperlink" Target="https://www.sec.gov/Archives/edgar/data/1398733/000114036121007811/brhc10021358_ex4-4.htm" TargetMode="External"/><Relationship Id="rId10" Type="http://schemas.openxmlformats.org/officeDocument/2006/relationships/hyperlink" Target="https://www.sec.gov/Archives/edgar/data/0001398733/000162828021016140/supplementalindentureexe.htm" TargetMode="External"/><Relationship Id="rId11" Type="http://schemas.openxmlformats.org/officeDocument/2006/relationships/hyperlink" Target="https://www.sec.gov/Archives/edgar/data/0001398733/000162828021019915/ex41_supplementalindentu.htm" TargetMode="External"/><Relationship Id="rId12" Type="http://schemas.openxmlformats.org/officeDocument/2006/relationships/hyperlink" Target="https://www.sec.gov/Archives/edgar/data/1398733/000114036119012961/ex4_2.htm" TargetMode="External"/><Relationship Id="rId13" Type="http://schemas.openxmlformats.org/officeDocument/2006/relationships/hyperlink" Target="https://www.sec.gov/Archives/edgar/data/1398733/000114036121000685/nt10018675x1_ex4-2.htm" TargetMode="External"/><Relationship Id="rId14" Type="http://schemas.openxmlformats.org/officeDocument/2006/relationships/hyperlink" Target="https://www.sec.gov/Archives/edgar/data/1398733/000114036122022348/ny20004471x2_ex4-1.htm" TargetMode="External"/><Relationship Id="rId15" Type="http://schemas.openxmlformats.org/officeDocument/2006/relationships/hyperlink" Target="https://www.sec.gov/Archives/edgar/data/1398733/000114036122022348/ny20004471x2_ex4-2.htm" TargetMode="External"/><Relationship Id="rId16" Type="http://schemas.openxmlformats.org/officeDocument/2006/relationships/hyperlink" Target="https://www.sec.gov/Archives/edgar/data/1398733/000114036118030141/s002128x4_ex4-3.htm" TargetMode="External"/><Relationship Id="rId17" Type="http://schemas.openxmlformats.org/officeDocument/2006/relationships/hyperlink" Target="https://www.sec.gov/Archives/edgar/data/1398733/000114036120005499/ex4_7.htm" TargetMode="External"/><Relationship Id="rId18" Type="http://schemas.openxmlformats.org/officeDocument/2006/relationships/hyperlink" Target="https://www.sec.gov/Archives/edgar/data/1398733/000114036122019495/brhc10037825_ex4-1.htm" TargetMode="External"/><Relationship Id="rId19" Type="http://schemas.openxmlformats.org/officeDocument/2006/relationships/hyperlink" Target="https://www.sec.gov/Archives/edgar/data/1398733/000114036123051010/ef20013909_ex4-1.htm" TargetMode="External"/><Relationship Id="rId20" Type="http://schemas.openxmlformats.org/officeDocument/2006/relationships/hyperlink" Target="https://www.sec.gov/Archives/edgar/data/1398733/000114036118030141/s002128x4_ex10-1.htm" TargetMode="External"/><Relationship Id="rId21" Type="http://schemas.openxmlformats.org/officeDocument/2006/relationships/hyperlink" Target="https://www.sec.gov/Archives/edgar/data/1398733/000114036119012961/ex10_1.htm" TargetMode="External"/><Relationship Id="rId22" Type="http://schemas.openxmlformats.org/officeDocument/2006/relationships/hyperlink" Target="https://www.sec.gov/Archives/edgar/data/1398733/000114036121007811/brhc10021358_ex10-3.htm" TargetMode="External"/><Relationship Id="rId23" Type="http://schemas.openxmlformats.org/officeDocument/2006/relationships/hyperlink" Target="https://www.sec.gov/Archives/edgar/data/1398733/000114036119012961/ex10_2.htm" TargetMode="External"/><Relationship Id="rId24" Type="http://schemas.openxmlformats.org/officeDocument/2006/relationships/hyperlink" Target="https://www.sec.gov/Archives/edgar/data/1398733/000162828022020244/danbarber2022ceoemployme.htm" TargetMode="External"/><Relationship Id="rId25" Type="http://schemas.openxmlformats.org/officeDocument/2006/relationships/hyperlink" Target="https://www.sec.gov/Archives/edgar/data/1398733/000114036118032464/s002128x7_ex10-8.htm" TargetMode="External"/><Relationship Id="rId26" Type="http://schemas.openxmlformats.org/officeDocument/2006/relationships/hyperlink" Target="https://www.sec.gov/Archives/edgar/data/1398733/000114036118030141/s002128x4_ex10-9.htm" TargetMode="External"/><Relationship Id="rId27" Type="http://schemas.openxmlformats.org/officeDocument/2006/relationships/hyperlink" Target="https://www.sec.gov/Archives/edgar/data/1398733/000114036118030141/s002128x4_ex10-10.htm" TargetMode="External"/><Relationship Id="rId28" Type="http://schemas.openxmlformats.org/officeDocument/2006/relationships/hyperlink" Target="https://www.sec.gov/Archives/edgar/data/1398733/000162828023010180/indiviorceaamendment0323.htm" TargetMode="External"/><Relationship Id="rId29" Type="http://schemas.openxmlformats.org/officeDocument/2006/relationships/hyperlink" Target="https://www.sec.gov/Archives/edgar/data/1398733/000114036118030141/s002128x4_ex10-11.htm" TargetMode="External"/><Relationship Id="rId30" Type="http://schemas.openxmlformats.org/officeDocument/2006/relationships/hyperlink" Target="https://www.sec.gov/Archives/edgar/data/1398733/000114036118030141/s002128x4_ex10-12.htm" TargetMode="External"/><Relationship Id="rId31" Type="http://schemas.openxmlformats.org/officeDocument/2006/relationships/hyperlink" Target="https://www.sec.gov/Archives/edgar/data/1398733/000114036120006442/ex10_1.htm" TargetMode="External"/><Relationship Id="rId32" Type="http://schemas.openxmlformats.org/officeDocument/2006/relationships/hyperlink" Target="https://www.sec.gov/Archives/edgar/data/1398733/000114036121007811/brhc10021358_ex10-15.htm" TargetMode="External"/><Relationship Id="rId33" Type="http://schemas.openxmlformats.org/officeDocument/2006/relationships/hyperlink" Target="https://www.sec.gov/Archives/edgar/data/1398733/000114036118030141/s002128x4_ex10-13.htm" TargetMode="External"/><Relationship Id="rId34" Type="http://schemas.openxmlformats.org/officeDocument/2006/relationships/hyperlink" Target="https://www.sec.gov/Archives/edgar/data/1398733/000121465923010930/ex4_1.htm" TargetMode="External"/><Relationship Id="rId35" Type="http://schemas.openxmlformats.org/officeDocument/2006/relationships/hyperlink" Target="https://www.sec.gov/Archives/edgar/data/1398733/000114036120005499/ex10_14.htm" TargetMode="External"/><Relationship Id="rId36" Type="http://schemas.openxmlformats.org/officeDocument/2006/relationships/hyperlink" Target="https://www.sec.gov/Archives/edgar/data/1398733/000114036118030141/s002128x4_ex10-16.htm" TargetMode="External"/><Relationship Id="rId37" Type="http://schemas.openxmlformats.org/officeDocument/2006/relationships/hyperlink" Target="https://www.sec.gov/Archives/edgar/data/1398733/000114036118032464/s002128x7_ex10-17.htm" TargetMode="External"/><Relationship Id="rId38" Type="http://schemas.openxmlformats.org/officeDocument/2006/relationships/hyperlink" Target="https://www.sec.gov/Archives/edgar/data/1398733/000114036118032464/s002128x7_ex10-18.htm" TargetMode="External"/><Relationship Id="rId39" Type="http://schemas.openxmlformats.org/officeDocument/2006/relationships/hyperlink" Target="https://www.sec.gov/Archives/edgar/data/1398733/000114036118042522/ex10_4.htm" TargetMode="External"/><Relationship Id="rId40" Type="http://schemas.openxmlformats.org/officeDocument/2006/relationships/hyperlink" Target="https://www.sec.gov/Archives/edgar/data/1398733/000114036121007811/brhc10021358_ex10-23.htm" TargetMode="External"/><Relationship Id="rId41" Type="http://schemas.openxmlformats.org/officeDocument/2006/relationships/hyperlink" Target="https://www.sec.gov/Archives/edgar/data/1398733/000162828023010180/amend1purchaseagreement.htm" TargetMode="External"/><Relationship Id="rId42" Type="http://schemas.openxmlformats.org/officeDocument/2006/relationships/hyperlink" Target="https://www.sec.gov/Archives/edgar/data/1398733/000114036122019495/brhc10037825_ex10-1.htm" TargetMode="External"/><Relationship Id="rId43" Type="http://schemas.openxmlformats.org/officeDocument/2006/relationships/hyperlink" Target="https://www.sec.gov/Archives/edgar/data/0001398733/000162828021019915/ex101_consentfeeletterfo.htm" TargetMode="External"/><Relationship Id="rId44" Type="http://schemas.openxmlformats.org/officeDocument/2006/relationships/hyperlink" Target="https://www.sec.gov/Archives/edgar/data/1398733/000162828022005393/firstamendmenttoamsexecu.htm" TargetMode="External"/><Relationship Id="rId45" Type="http://schemas.openxmlformats.org/officeDocument/2006/relationships/hyperlink" Target="https://www.sec.gov/Archives/edgar/data/1398733/000162828022005393/executedamendmenttokenda.htm" TargetMode="External"/><Relationship Id="rId46" Type="http://schemas.openxmlformats.org/officeDocument/2006/relationships/hyperlink" Target="https://www.sec.gov/Archives/edgar/data/1398733/000162828022027580/atnahspharmauklimitedlic.htm" TargetMode="External"/><Relationship Id="rId47" Type="http://schemas.openxmlformats.org/officeDocument/2006/relationships/hyperlink" Target="https://www.sec.gov/Archives/edgar/data/1398733/000162828022012115/aquestivehaiscolicenseag.htm" TargetMode="External"/><Relationship Id="rId48" Type="http://schemas.openxmlformats.org/officeDocument/2006/relationships/hyperlink" Target="https://www.sec.gov/Archives/edgar/data/1398733/000162828023010180/aqst-assertiolicenseagre.htm" TargetMode="External"/><Relationship Id="rId49" Type="http://schemas.openxmlformats.org/officeDocument/2006/relationships/hyperlink" Target="https://www.sec.gov/Archives/edgar/data/1398733/000114036122019590/brhc10037837_ex10-1.htm" TargetMode="External"/><Relationship Id="rId50" Type="http://schemas.openxmlformats.org/officeDocument/2006/relationships/hyperlink" Target="https://www.sec.gov/Archives/edgar/data/1398733/000114036122022348/ny20004471x2_ex10-1.htm" TargetMode="External"/><Relationship Id="rId51" Type="http://schemas.openxmlformats.org/officeDocument/2006/relationships/hyperlink" Target="https://www.sec.gov/Archives/edgar/data/1398733/000162828022009093/ex101_lpcpurchaseagreeme.htm" TargetMode="External"/><Relationship Id="rId52" Type="http://schemas.openxmlformats.org/officeDocument/2006/relationships/hyperlink" Target="https://www.sec.gov/Archives/edgar/data/1398733/000162828022009093/ex102_lpcregistrationrig.htm" TargetMode="External"/><Relationship Id="rId53" Type="http://schemas.openxmlformats.org/officeDocument/2006/relationships/hyperlink" Target="https://www.sec.gov/Archives/edgar/data/1398733/000114036119016535/ex1_2.htm" TargetMode="External"/><Relationship Id="rId54" Type="http://schemas.openxmlformats.org/officeDocument/2006/relationships/hyperlink" Target="https://www.sec.gov/Archives/edgar/data/1398733/000114036121010128/nt10022087x3_ex10-1.htm" TargetMode="External"/><Relationship Id="rId55" Type="http://schemas.openxmlformats.org/officeDocument/2006/relationships/hyperlink" Target="https://www.sec.gov/Archives/edgar/data/1398733/000162828023026584/aqstwarrantinducementlet.htm" TargetMode="External"/><Relationship Id="rId56" Type="http://schemas.openxmlformats.org/officeDocument/2006/relationships/hyperlink" Target="https://www.sec.gov/Archives/edgar/data/1398733/000114036123051010/ef20013909_ex10-1.htm" TargetMode="External"/><Relationship Id="rId57" Type="http://schemas.openxmlformats.org/officeDocument/2006/relationships/hyperlink" Target="https://www.sec.gov/Archives/edgar/data/1398733/000114036123051010/ef20013909_ex10-2.htm" TargetMode="External"/><Relationship Id="rId58" Type="http://schemas.openxmlformats.org/officeDocument/2006/relationships/hyperlink" Target="https://www.sec.gov/Archives/edgar/data/1398733/000114036123051010/ef20013909_ex10-3.htm" TargetMode="External"/><Relationship Id="rId59" Type="http://schemas.openxmlformats.org/officeDocument/2006/relationships/hyperlink" Target="https://www.sec.gov/Archives/edgar/data/1398733/000162828024009010/pharmanovialsaamendment0.htm" TargetMode="External"/><Relationship Id="rId60" Type="http://schemas.openxmlformats.org/officeDocument/2006/relationships/hyperlink" Target="https://www.sec.gov/Archives/edgar/data/1398733/000162828024009010/aquestiveclawbackpolicy926.htm" TargetMode="External"/><Relationship Id="rId61" Type="http://schemas.openxmlformats.org/officeDocument/2006/relationships/image" Target="media/image3.jpeg"/><Relationship Id="rId62" Type="http://schemas.openxmlformats.org/officeDocument/2006/relationships/image" Target="media/image4.jpeg"/><Relationship Id="rId63" Type="http://schemas.openxmlformats.org/officeDocument/2006/relationships/image" Target="media/image5.jpeg"/><Relationship Id="rId64" Type="http://schemas.openxmlformats.org/officeDocument/2006/relationships/image" Target="media/image6.jpeg"/><Relationship Id="rId65" Type="http://schemas.openxmlformats.org/officeDocument/2006/relationships/image" Target="media/image7.jpeg"/><Relationship Id="rId66" Type="http://schemas.openxmlformats.org/officeDocument/2006/relationships/image" Target="media/image8.jpeg"/><Relationship Id="rId67" Type="http://schemas.openxmlformats.org/officeDocument/2006/relationships/image" Target="media/image9.jpeg"/><Relationship Id="rId68" Type="http://schemas.openxmlformats.org/officeDocument/2006/relationships/image" Target="media/image10.jpeg"/><Relationship Id="rId69" Type="http://schemas.openxmlformats.org/officeDocument/2006/relationships/image" Target="media/image11.jpeg"/><Relationship Id="rId70" Type="http://schemas.openxmlformats.org/officeDocument/2006/relationships/image" Target="media/image12.jpeg"/><Relationship Id="rId71" Type="http://schemas.openxmlformats.org/officeDocument/2006/relationships/image" Target="media/image13.jpeg"/><Relationship Id="rId72" Type="http://schemas.openxmlformats.org/officeDocument/2006/relationships/image" Target="media/image14.jpeg"/><Relationship Id="rId73" Type="http://schemas.openxmlformats.org/officeDocument/2006/relationships/image" Target="media/image15.jpe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95423</Words>
  <Characters>531855</Characters>
  <CharactersWithSpaces>625119</CharactersWithSpaces>
  <Paragraphs>3749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insidertradingpolicyfeb2</dc:title>
</cp:coreProperties>
</file>