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For the transition period from _____</w:t>
      </w:r>
      <w:r>
        <w:rPr>
          <w:color w:val="000000"/>
        </w:rPr>
        <w:t xml:space="preserve">  </w:t>
      </w:r>
      <w:r>
        <w:rPr>
          <w:rFonts w:ascii="Times New Roman;serif" w:hAnsi="Times New Roman;serif"/>
          <w:b/>
          <w:color w:val="000000"/>
          <w:sz w:val="20"/>
        </w:rPr>
        <w:t>to 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001-38599</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8"/>
        <w:gridCol w:w="1333"/>
        <w:gridCol w:w="1347"/>
        <w:gridCol w:w="1017"/>
        <w:gridCol w:w="1017"/>
        <w:gridCol w:w="1019"/>
        <w:gridCol w:w="861"/>
        <w:gridCol w:w="861"/>
        <w:gridCol w:w="1232"/>
      </w:tblGrid>
      <w:tr>
        <w:trPr/>
        <w:tc>
          <w:tcPr>
            <w:tcW w:w="15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 Technology Drive, Warren, NJ 07059</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4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( 908) 941-1900</w:t>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Zip Code and Telephone Number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AQST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Securities registered pursuant to Section 12(g) of the Act:  </w:t>
      </w:r>
      <w:r>
        <w:rPr>
          <w:rFonts w:ascii="Times New Roman;serif" w:hAnsi="Times New Roman;serif"/>
          <w:b/>
          <w:color w:val="000000"/>
          <w:sz w:val="20"/>
        </w:rPr>
        <w:t>None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bidi w:val="0"/>
        <w:spacing w:before="0" w:after="0"/>
        <w:jc w:val="left"/>
        <w:rPr/>
      </w:pPr>
      <w:r>
        <w:rPr/>
      </w:r>
    </w:p>
    <w:tbl>
      <w:tblPr>
        <w:tblW w:w="5255"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par value of $0.001 per share (the "Common Stock"), as of the close of business on August 7, 2025 was 99,723,635.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29"/>
        <w:gridCol w:w="466"/>
        <w:gridCol w:w="466"/>
        <w:gridCol w:w="2739"/>
        <w:gridCol w:w="2581"/>
        <w:gridCol w:w="2602"/>
        <w:gridCol w:w="239"/>
        <w:gridCol w:w="239"/>
        <w:gridCol w:w="344"/>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c>
          <w:tcPr>
            <w:tcW w:w="8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6">
              <w:r>
                <w:rPr>
                  <w:rStyle w:val="InternetLink"/>
                  <w:rFonts w:ascii="Times New Roman;serif" w:hAnsi="Times New Roman;serif"/>
                  <w:b w:val="false"/>
                  <w:color w:val="000000"/>
                  <w:sz w:val="20"/>
                  <w:u w:val="single"/>
                </w:rPr>
                <w:t>Financial Statements (Unaudited)</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9">
              <w:r>
                <w:rPr>
                  <w:rStyle w:val="InternetLink"/>
                  <w:rFonts w:ascii="Times New Roman;serif" w:hAnsi="Times New Roman;serif"/>
                  <w:b w:val="false"/>
                  <w:color w:val="000000"/>
                  <w:sz w:val="20"/>
                  <w:u w:val="single"/>
                </w:rPr>
                <w:t>Condensed Balance Sheets as of June 30, 2025 and December 31, 2024</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9">
              <w:r>
                <w:rPr>
                  <w:rStyle w:val="InternetLink"/>
                  <w:rFonts w:ascii="Times New Roman;serif" w:hAnsi="Times New Roman;serif"/>
                  <w:b w:val="false"/>
                  <w:strike w:val="false"/>
                  <w:dstrike w:val="false"/>
                  <w:color w:val="000000"/>
                  <w:sz w:val="20"/>
                  <w:u w:val="none"/>
                  <w:effect w:val="none"/>
                </w:rPr>
                <w:t>5</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22">
              <w:r>
                <w:rPr>
                  <w:rStyle w:val="InternetLink"/>
                  <w:rFonts w:ascii="Times New Roman;serif" w:hAnsi="Times New Roman;serif"/>
                  <w:b w:val="false"/>
                  <w:color w:val="000080"/>
                  <w:sz w:val="20"/>
                  <w:u w:val="single"/>
                </w:rPr>
                <w:t>Condensed Statements of Operations and Comprehensive Loss for the three</w:t>
              </w:r>
            </w:hyperlink>
            <w:hyperlink w:anchor="i3095071428114d37aef7fa1bb353f07b_22">
              <w:r>
                <w:rPr>
                  <w:rStyle w:val="InternetLink"/>
                  <w:rFonts w:ascii="Times New Roman;serif" w:hAnsi="Times New Roman;serif"/>
                  <w:b w:val="false"/>
                  <w:color w:val="000080"/>
                  <w:sz w:val="20"/>
                  <w:u w:val="single"/>
                </w:rPr>
                <w:t xml:space="preserve"> and six</w:t>
              </w:r>
            </w:hyperlink>
            <w:hyperlink w:anchor="i3095071428114d37aef7fa1bb353f07b_22">
              <w:r>
                <w:rPr>
                  <w:rStyle w:val="InternetLink"/>
                  <w:rFonts w:ascii="Times New Roman;serif" w:hAnsi="Times New Roman;serif"/>
                  <w:b w:val="false"/>
                  <w:color w:val="000080"/>
                  <w:sz w:val="20"/>
                  <w:u w:val="single"/>
                </w:rPr>
                <w:t xml:space="preserve"> months ended </w:t>
              </w:r>
            </w:hyperlink>
            <w:hyperlink w:anchor="i3095071428114d37aef7fa1bb353f07b_22">
              <w:r>
                <w:rPr>
                  <w:rStyle w:val="InternetLink"/>
                  <w:rFonts w:ascii="Times New Roman;serif" w:hAnsi="Times New Roman;serif"/>
                  <w:b w:val="false"/>
                  <w:color w:val="000080"/>
                  <w:sz w:val="20"/>
                  <w:u w:val="single"/>
                </w:rPr>
                <w:t>June 30</w:t>
              </w:r>
            </w:hyperlink>
            <w:hyperlink w:anchor="i3095071428114d37aef7fa1bb353f07b_22">
              <w:r>
                <w:rPr>
                  <w:rStyle w:val="InternetLink"/>
                  <w:rFonts w:ascii="Times New Roman;serif" w:hAnsi="Times New Roman;serif"/>
                  <w:b w:val="false"/>
                  <w:color w:val="000080"/>
                  <w:sz w:val="20"/>
                  <w:u w:val="single"/>
                </w:rPr>
                <w:t>, 2025 and 2024</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22">
              <w:r>
                <w:rPr>
                  <w:rStyle w:val="InternetLink"/>
                  <w:rFonts w:ascii="Times New Roman;serif" w:hAnsi="Times New Roman;serif"/>
                  <w:b w:val="false"/>
                  <w:strike w:val="false"/>
                  <w:dstrike w:val="false"/>
                  <w:color w:val="000000"/>
                  <w:sz w:val="20"/>
                  <w:u w:val="none"/>
                  <w:effect w:val="none"/>
                </w:rPr>
                <w:t>6</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25">
              <w:r>
                <w:rPr>
                  <w:rStyle w:val="InternetLink"/>
                  <w:rFonts w:ascii="Times New Roman;serif" w:hAnsi="Times New Roman;serif"/>
                  <w:b w:val="false"/>
                  <w:color w:val="000000"/>
                  <w:sz w:val="20"/>
                  <w:u w:val="single"/>
                </w:rPr>
                <w:t>Condensed Statements of Changes in Stockholders’ Deficit for the three and six months ended June 30, 2025 and 2024</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25">
              <w:r>
                <w:rPr>
                  <w:rStyle w:val="InternetLink"/>
                  <w:rFonts w:ascii="Times New Roman;serif" w:hAnsi="Times New Roman;serif"/>
                  <w:b w:val="false"/>
                  <w:strike w:val="false"/>
                  <w:dstrike w:val="false"/>
                  <w:color w:val="000000"/>
                  <w:sz w:val="20"/>
                  <w:u w:val="none"/>
                  <w:effect w:val="none"/>
                </w:rPr>
                <w:t>7</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31">
              <w:r>
                <w:rPr>
                  <w:rStyle w:val="InternetLink"/>
                  <w:rFonts w:ascii="Times New Roman;serif" w:hAnsi="Times New Roman;serif"/>
                  <w:b w:val="false"/>
                  <w:color w:val="000000"/>
                  <w:sz w:val="20"/>
                  <w:u w:val="single"/>
                </w:rPr>
                <w:t>Condensed Statements of Cash Flows for the six months ended June 30, 2025 and 2024</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31">
              <w:r>
                <w:rPr>
                  <w:rStyle w:val="InternetLink"/>
                  <w:rFonts w:ascii="Times New Roman;serif" w:hAnsi="Times New Roman;serif"/>
                  <w:b w:val="false"/>
                  <w:strike w:val="false"/>
                  <w:dstrike w:val="false"/>
                  <w:color w:val="000000"/>
                  <w:sz w:val="20"/>
                  <w:u w:val="none"/>
                  <w:effect w:val="none"/>
                </w:rPr>
                <w:t>9</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34">
              <w:r>
                <w:rPr>
                  <w:rStyle w:val="InternetLink"/>
                  <w:rFonts w:ascii="Times New Roman;serif" w:hAnsi="Times New Roman;serif"/>
                  <w:b w:val="false"/>
                  <w:color w:val="000000"/>
                  <w:sz w:val="20"/>
                  <w:u w:val="single"/>
                </w:rPr>
                <w:t>Notes to Unaudited Condensed Financial Statements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34">
              <w:r>
                <w:rPr>
                  <w:rStyle w:val="InternetLink"/>
                  <w:rFonts w:ascii="Times New Roman;serif" w:hAnsi="Times New Roman;serif"/>
                  <w:b w:val="false"/>
                  <w:strike w:val="false"/>
                  <w:dstrike w:val="false"/>
                  <w:color w:val="000000"/>
                  <w:sz w:val="20"/>
                  <w:u w:val="none"/>
                  <w:effect w:val="none"/>
                </w:rPr>
                <w:t>10</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06">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06">
              <w:r>
                <w:rPr>
                  <w:rStyle w:val="InternetLink"/>
                  <w:rFonts w:ascii="Times New Roman;serif" w:hAnsi="Times New Roman;serif"/>
                  <w:b w:val="false"/>
                  <w:strike w:val="false"/>
                  <w:dstrike w:val="false"/>
                  <w:color w:val="000000"/>
                  <w:sz w:val="20"/>
                  <w:u w:val="none"/>
                  <w:effect w:val="none"/>
                </w:rPr>
                <w:t>33</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42">
              <w:r>
                <w:rPr>
                  <w:rStyle w:val="InternetLink"/>
                  <w:rFonts w:ascii="Times New Roman;serif" w:hAnsi="Times New Roman;serif"/>
                  <w:b w:val="false"/>
                  <w:color w:val="000000"/>
                  <w:sz w:val="20"/>
                  <w:u w:val="single"/>
                </w:rPr>
                <w:t>Quantitative and Qualitative Disclosures about Market Risk</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42">
              <w:r>
                <w:rPr>
                  <w:rStyle w:val="InternetLink"/>
                  <w:rFonts w:ascii="Times New Roman;serif" w:hAnsi="Times New Roman;serif"/>
                  <w:b w:val="false"/>
                  <w:strike w:val="false"/>
                  <w:dstrike w:val="false"/>
                  <w:color w:val="000000"/>
                  <w:sz w:val="20"/>
                  <w:u w:val="none"/>
                  <w:effect w:val="none"/>
                </w:rPr>
                <w:t>50</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45">
              <w:r>
                <w:rPr>
                  <w:rStyle w:val="InternetLink"/>
                  <w:rFonts w:ascii="Times New Roman;serif" w:hAnsi="Times New Roman;serif"/>
                  <w:b w:val="false"/>
                  <w:color w:val="000000"/>
                  <w:sz w:val="20"/>
                  <w:u w:val="single"/>
                </w:rPr>
                <w:t>Controls and Procedures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45">
              <w:r>
                <w:rPr>
                  <w:rStyle w:val="InternetLink"/>
                  <w:rFonts w:ascii="Times New Roman;serif" w:hAnsi="Times New Roman;serif"/>
                  <w:b w:val="false"/>
                  <w:strike w:val="false"/>
                  <w:dstrike w:val="false"/>
                  <w:color w:val="000000"/>
                  <w:sz w:val="20"/>
                  <w:u w:val="none"/>
                  <w:effect w:val="none"/>
                </w:rPr>
                <w:t>50</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 OTHER INFORMATION</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51">
              <w:r>
                <w:rPr>
                  <w:rStyle w:val="InternetLink"/>
                  <w:rFonts w:ascii="Times New Roman;serif" w:hAnsi="Times New Roman;serif"/>
                  <w:b w:val="false"/>
                  <w:color w:val="000000"/>
                  <w:sz w:val="20"/>
                  <w:u w:val="single"/>
                </w:rPr>
                <w:t>Legal Proceedings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51">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54">
              <w:r>
                <w:rPr>
                  <w:rStyle w:val="InternetLink"/>
                  <w:rFonts w:ascii="Times New Roman;serif" w:hAnsi="Times New Roman;serif"/>
                  <w:b w:val="false"/>
                  <w:color w:val="000000"/>
                  <w:sz w:val="20"/>
                  <w:u w:val="single"/>
                </w:rPr>
                <w:t>Risk Factors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54">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57">
              <w:r>
                <w:rPr>
                  <w:rStyle w:val="InternetLink"/>
                  <w:rFonts w:ascii="Times New Roman;serif" w:hAnsi="Times New Roman;serif"/>
                  <w:b w:val="false"/>
                  <w:color w:val="000000"/>
                  <w:sz w:val="20"/>
                  <w:u w:val="single"/>
                </w:rPr>
                <w:t>Unregistered Sales of Equity Securities and Use of Proceeds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57">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60">
              <w:r>
                <w:rPr>
                  <w:rStyle w:val="InternetLink"/>
                  <w:rFonts w:ascii="Times New Roman;serif" w:hAnsi="Times New Roman;serif"/>
                  <w:b w:val="false"/>
                  <w:color w:val="000000"/>
                  <w:sz w:val="20"/>
                  <w:u w:val="single"/>
                </w:rPr>
                <w:t>Defaults Upon Senior Securities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60">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63">
              <w:r>
                <w:rPr>
                  <w:rStyle w:val="InternetLink"/>
                  <w:rFonts w:ascii="Times New Roman;serif" w:hAnsi="Times New Roman;serif"/>
                  <w:b w:val="false"/>
                  <w:color w:val="000000"/>
                  <w:sz w:val="20"/>
                  <w:u w:val="single"/>
                </w:rPr>
                <w:t>Mine Safety Disclosures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63">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66">
              <w:r>
                <w:rPr>
                  <w:rStyle w:val="InternetLink"/>
                  <w:rFonts w:ascii="Times New Roman;serif" w:hAnsi="Times New Roman;serif"/>
                  <w:b w:val="false"/>
                  <w:color w:val="000000"/>
                  <w:sz w:val="20"/>
                  <w:u w:val="single"/>
                </w:rPr>
                <w:t>Other Information</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66">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72">
              <w:r>
                <w:rPr>
                  <w:rStyle w:val="InternetLink"/>
                  <w:rFonts w:ascii="Times New Roman;serif" w:hAnsi="Times New Roman;serif"/>
                  <w:b w:val="false"/>
                  <w:color w:val="000000"/>
                  <w:sz w:val="20"/>
                  <w:u w:val="single"/>
                </w:rPr>
                <w:t>Exhibits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72">
              <w:r>
                <w:rPr>
                  <w:rStyle w:val="InternetLink"/>
                  <w:rFonts w:ascii="Times New Roman;serif" w:hAnsi="Times New Roman;serif"/>
                  <w:b w:val="false"/>
                  <w:strike w:val="false"/>
                  <w:dstrike w:val="false"/>
                  <w:color w:val="000000"/>
                  <w:sz w:val="20"/>
                  <w:u w:val="none"/>
                  <w:effect w:val="none"/>
                </w:rPr>
                <w:t>51</w:t>
              </w:r>
            </w:hyperlink>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095071428114d37aef7fa1bb353f07b_175">
              <w:r>
                <w:rPr>
                  <w:rStyle w:val="InternetLink"/>
                  <w:rFonts w:ascii="Times New Roman;serif" w:hAnsi="Times New Roman;serif"/>
                  <w:b w:val="false"/>
                  <w:color w:val="000000"/>
                  <w:sz w:val="20"/>
                  <w:u w:val="single"/>
                </w:rPr>
                <w:t>SIGNATURES</w:t>
              </w:r>
            </w:hyperlink>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095071428114d37aef7fa1bb353f07b_175">
              <w:r>
                <w:rPr>
                  <w:rStyle w:val="InternetLink"/>
                  <w:rFonts w:ascii="Times New Roman;serif" w:hAnsi="Times New Roman;serif"/>
                  <w:b w:val="false"/>
                  <w:strike w:val="false"/>
                  <w:dstrike w:val="false"/>
                  <w:color w:val="000000"/>
                  <w:sz w:val="20"/>
                  <w:u w:val="none"/>
                  <w:effect w:val="none"/>
                </w:rPr>
                <w:t>53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GLOSSARY OF TERMS, ABBREVIATIONS AND ACRONYMS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following terms, abbreviations and acronyms are used to identify frequently used terms and phrases that may be used in this report (dollar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1"/>
        <w:gridCol w:w="607"/>
        <w:gridCol w:w="602"/>
        <w:gridCol w:w="2480"/>
        <w:gridCol w:w="2408"/>
        <w:gridCol w:w="3417"/>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8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DEFINITION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 Notes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12.5% Senior Secured Notes redeemed on November 1, 2023</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13.5% Notes</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13.5% Senior Secured Notes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ACAAI</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American College of Allergy Asthma and Immunology</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ABL facility</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Asset-based borrowing facility</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ADHD</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Attention deficit hyperactivity disorder </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Adrenaverse™ </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Epinephrine prodrug platform currently comprised of Anaphylm™ and AQST-108</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Amyotrophic lateral sclerosis</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ANVISA</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Health Regulatory Agency</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Aquestive</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AQST</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Nasdaq ticker symbol for Aquestive Therapeutics, Inc.</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Assertio</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Assertio Holdings, Inc.</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Assertio Agreement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License Agreement between Aquestive and Otter Pharmaceuticals, LLC, a subsidiary of Assertio Holdings, Inc.</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Acute Repetitive Seizures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ATM facility</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At-The-Market facility for the purchase of AQST Common Stock, then in effect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Central Nervous System</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$0.001 per share, of the Company </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Warrants issued with private placement of up to $100,000 aggregate principal of 12.5% Notes originally due 2025</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Enforcement Administration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Medicines Agency</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EOP2</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End-of-phase 2</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Warrants</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Purchase Warrants with the holder of the remaining 5,000,000 warrants</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First amendment to the Sunovion License Agreement</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Accepted Accounting Principles </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Haisco</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Haisco Pharmaceutical Group Co., Ltd.</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Haisco Agreement</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License, Development and Supply Agreement with Haisco, a Chinese limited company listed on the Shenzhen Stock Exchange</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Hypera</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Hypera Pharma, CosMed Industria De Cosmeticos E Medicamentos S.A</w:t>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8305"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Investigational New Drug</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Agreement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Agreement governing the 13.5% Senior Secured Notes</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w:t>
            </w:r>
          </w:p>
        </w:tc>
        <w:tc>
          <w:tcPr>
            <w:tcW w:w="8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 Inc. (formerly, Reckitt Benckiser Pharmaceuticals Inc)</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Indivior Amendment</w:t>
            </w:r>
          </w:p>
        </w:tc>
        <w:tc>
          <w:tcPr>
            <w:tcW w:w="8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11 to the Indivior License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09"/>
        <w:gridCol w:w="626"/>
        <w:gridCol w:w="630"/>
        <w:gridCol w:w="2446"/>
        <w:gridCol w:w="2357"/>
        <w:gridCol w:w="3337"/>
      </w:tblGrid>
      <w:tr>
        <w:trPr/>
        <w:tc>
          <w:tcPr>
            <w:tcW w:w="8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Indivior License Agreement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Exploitation Agreement with Reckitt Benckiser Pharmaceuticals, Inc. (with subsequent amendments collectively)</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Marathon Asset Management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Monetization Agreement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Purchase and Sale Agreement between Aquestive and Sunovion </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MTPA or Mitsubishi</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Mitsubishi Tanabe Pharma America, Inc. (formerly, Mitsubishi Tanabe Pharma Holdings America, Inc.)</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Meaningful, used in percentage changes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Warrants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2,750,000 shares of Common Stock </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ODE</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Orphan Drug Exclusivity </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Offering</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$45,000 aggregate principal amount of 13.5% Notes due November 1, 2028.</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PD</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Pharmacodynamics</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Atnahs Pharma UK Limited, a company registered in England and Wales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Pharmanovia Agreement</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License and Supply Agreement with Atnahs Pharma UK Limited,</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Pharmanovia Amendment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License and Supply Agreement with Atnahs Pharma UK Limited as of March 27, 2023</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PK</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Pharmacokinetic</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PTO</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Patent and Trademark Office</w:t>
            </w:r>
          </w:p>
        </w:tc>
      </w:tr>
      <w:tr>
        <w:trPr/>
        <w:tc>
          <w:tcPr>
            <w:tcW w:w="2065" w:type="dxa"/>
            <w:gridSpan w:val="3"/>
            <w:tcBorders/>
            <w:vAlign w:val="center"/>
          </w:tcPr>
          <w:p>
            <w:pPr>
              <w:pStyle w:val="TableContents"/>
              <w:bidi w:val="0"/>
              <w:spacing w:before="0" w:after="283"/>
              <w:jc w:val="left"/>
              <w:rPr>
                <w:sz w:val="4"/>
                <w:szCs w:val="4"/>
              </w:rPr>
            </w:pPr>
            <w:r>
              <w:rPr>
                <w:sz w:val="4"/>
                <w:szCs w:val="4"/>
              </w:rPr>
            </w:r>
          </w:p>
        </w:tc>
        <w:tc>
          <w:tcPr>
            <w:tcW w:w="8140" w:type="dxa"/>
            <w:gridSpan w:val="3"/>
            <w:tcBorders/>
            <w:vAlign w:val="center"/>
          </w:tcPr>
          <w:p>
            <w:pPr>
              <w:pStyle w:val="TableContents"/>
              <w:bidi w:val="0"/>
              <w:spacing w:before="0" w:after="283"/>
              <w:jc w:val="left"/>
              <w:rPr>
                <w:sz w:val="4"/>
                <w:szCs w:val="4"/>
              </w:rPr>
            </w:pPr>
            <w:r>
              <w:rPr>
                <w:sz w:val="4"/>
                <w:szCs w:val="4"/>
              </w:rPr>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PDUFA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Pre-IND</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Pre-Investigational New Drug</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Obligations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Royalty Rights Agreements</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Rights Agreements</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Rights Agreements, component of 13.5% Senior Secured Notes</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Purchase Agreements</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Purchase Agreements with certain purchasers entered into on June 6, 2022</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Sunovion</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Sunovion Pharmaceuticals Inc</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Sunovion License Agreement</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KYNMOBI Commercialization Agreement</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Territory</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Certain countries of the European Union, the United Kingdom, Switzerland, Norway and the Middle East and North Africa under the Pharmanovia Agreement</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TGA</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Australian Government Department of Health’s Therapeutics Goods Administration</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Underwritten Public Offering</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Capital raise of gross proceeds of $77,519, including partial exercise of the underwriters' option for $2,519 on April 22, 2024</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Zambon</w:t>
            </w:r>
          </w:p>
        </w:tc>
        <w:tc>
          <w:tcPr>
            <w:tcW w:w="8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Zambon S.p.A.</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Zevra</w:t>
            </w:r>
          </w:p>
        </w:tc>
        <w:tc>
          <w:tcPr>
            <w:tcW w:w="8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Zevra Therapeutics, Inc. (formerly KemPharm, Inc.)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FINANCIAL STATEMENTS </w:t>
      </w:r>
      <w:r>
        <w:rPr>
          <w:rFonts w:ascii="Times New Roman;serif" w:hAnsi="Times New Roman;serif"/>
          <w:b/>
          <w:i/>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3"/>
        <w:gridCol w:w="2382"/>
        <w:gridCol w:w="2346"/>
        <w:gridCol w:w="211"/>
        <w:gridCol w:w="721"/>
        <w:gridCol w:w="109"/>
        <w:gridCol w:w="109"/>
        <w:gridCol w:w="109"/>
        <w:gridCol w:w="109"/>
        <w:gridCol w:w="220"/>
        <w:gridCol w:w="863"/>
        <w:gridCol w:w="163"/>
      </w:tblGrid>
      <w:tr>
        <w:trPr/>
        <w:tc>
          <w:tcPr>
            <w:tcW w:w="2863"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payable,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obligations,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161,580 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Contingencies (Note 20)</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250,000,000 shares; 99,353,270 and 91,413,742 shares issued and outstanding at June 30, 2025 and December 31,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101,424 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7"/>
        <w:gridCol w:w="1387"/>
        <w:gridCol w:w="1395"/>
        <w:gridCol w:w="240"/>
        <w:gridCol w:w="841"/>
        <w:gridCol w:w="114"/>
        <w:gridCol w:w="114"/>
        <w:gridCol w:w="114"/>
        <w:gridCol w:w="114"/>
        <w:gridCol w:w="244"/>
        <w:gridCol w:w="837"/>
        <w:gridCol w:w="114"/>
        <w:gridCol w:w="109"/>
        <w:gridCol w:w="109"/>
        <w:gridCol w:w="109"/>
        <w:gridCol w:w="240"/>
        <w:gridCol w:w="841"/>
        <w:gridCol w:w="109"/>
        <w:gridCol w:w="109"/>
        <w:gridCol w:w="109"/>
        <w:gridCol w:w="109"/>
        <w:gridCol w:w="240"/>
        <w:gridCol w:w="841"/>
        <w:gridCol w:w="159"/>
      </w:tblGrid>
      <w:tr>
        <w:trPr/>
        <w:tc>
          <w:tcPr>
            <w:tcW w:w="160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 attributable to common stockholders: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dollars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(in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99,326,701 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90,911,626 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82,263,168 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Changes in Stockholders’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Three and Six Months Ended June 30, 2025 and June 30,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59"/>
        <w:gridCol w:w="950"/>
        <w:gridCol w:w="955"/>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43"/>
        <w:gridCol w:w="850"/>
        <w:gridCol w:w="185"/>
      </w:tblGrid>
      <w:tr>
        <w:trPr/>
        <w:tc>
          <w:tcPr>
            <w:tcW w:w="125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91,413,742 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7,457,627 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99,317,153 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99,353,270 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(72,590)</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Changes in Stockholders’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2024 and June 30, 2024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60"/>
        <w:gridCol w:w="950"/>
        <w:gridCol w:w="956"/>
        <w:gridCol w:w="540"/>
        <w:gridCol w:w="541"/>
        <w:gridCol w:w="226"/>
        <w:gridCol w:w="110"/>
        <w:gridCol w:w="110"/>
        <w:gridCol w:w="110"/>
        <w:gridCol w:w="241"/>
        <w:gridCol w:w="414"/>
        <w:gridCol w:w="126"/>
        <w:gridCol w:w="109"/>
        <w:gridCol w:w="109"/>
        <w:gridCol w:w="109"/>
        <w:gridCol w:w="211"/>
        <w:gridCol w:w="826"/>
        <w:gridCol w:w="109"/>
        <w:gridCol w:w="109"/>
        <w:gridCol w:w="109"/>
        <w:gridCol w:w="109"/>
        <w:gridCol w:w="211"/>
        <w:gridCol w:w="898"/>
        <w:gridCol w:w="109"/>
        <w:gridCol w:w="109"/>
        <w:gridCol w:w="109"/>
        <w:gridCol w:w="109"/>
        <w:gridCol w:w="213"/>
        <w:gridCol w:w="903"/>
        <w:gridCol w:w="160"/>
      </w:tblGrid>
      <w:tr>
        <w:trPr/>
        <w:tc>
          <w:tcPr>
            <w:tcW w:w="12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Deficit</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68,533,085 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offering-ATM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4,557,220 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16,666,667 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90,478,731 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offering-ATM</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public equity offering</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559,801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common stock issued under public equity offering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91,059,760 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829" w:type="dxa"/>
        <w:jc w:val="left"/>
        <w:tblInd w:w="0" w:type="dxa"/>
        <w:tblLayout w:type="fixed"/>
        <w:tblCellMar>
          <w:top w:w="28" w:type="dxa"/>
          <w:left w:w="28" w:type="dxa"/>
          <w:bottom w:w="28" w:type="dxa"/>
          <w:right w:w="28" w:type="dxa"/>
        </w:tblCellMar>
      </w:tblPr>
      <w:tblGrid>
        <w:gridCol w:w="2256"/>
        <w:gridCol w:w="1978"/>
        <w:gridCol w:w="1991"/>
        <w:gridCol w:w="211"/>
        <w:gridCol w:w="796"/>
        <w:gridCol w:w="109"/>
        <w:gridCol w:w="109"/>
        <w:gridCol w:w="109"/>
        <w:gridCol w:w="109"/>
        <w:gridCol w:w="211"/>
        <w:gridCol w:w="796"/>
        <w:gridCol w:w="154"/>
      </w:tblGrid>
      <w:tr>
        <w:trPr/>
        <w:tc>
          <w:tcPr>
            <w:tcW w:w="225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for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contract termination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public equity offering-ATM,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public equity offering,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under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principal including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royalty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on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 capital expenditures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AQUESTIVE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    Company Overview and Basis of Presentation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 Company 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Aquestive Therapeutics, Inc. is a pharmaceutical company advancing medicines to bring meaningful improvement to patients’ lives through innovative science and delivery technologies. The Company is developing pharmaceutical products to deliver complex molecules through alternative administrations to invasive and inconvenient standard of care therapies. The Company is advancing a product pipeline for the treatment of severe allergic reactions, including anaphylaxis, under the Anaphylm™ trade name, and its Adrenaverse™ epinephrine prodrug pipeline platform. The Company has four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Company’s production facilities are located in Portage, Indiana, and its corporate headquarters and primary research laboratory facilities are based in Warren, New Jersey.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 Equity Transactions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ATM Facility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established its first ATM facility in September 2019, and since inception to June 30, 2025, the Company has sold 27,315,145 shares of Common Stock under its ATM Facility which has generated net cash proceeds of approximately $81,794, net of commissions and other transactions costs of $3,849. On April 3, 2024, the Company filed a new shelf registration statement on Form S-3, the 2024 Registration Statement, which was declared effective by the SEC on April 23, 2024. Included as part of the 2024 Registration Statement are (i) a base prospectus registering the offer, issuance and sale of up to $250,000 worth of Common Stock, preferred stock, debt securities, warrants, rights and units and (ii) a $100,000 ATM facility prospectus. During the three months ended June 30, 2025, there were no shares of Common Stock sold under the ATM facility. For the six months ended June 30, 2025, the Company sold 7,457,627 shares of Common Stock pursuant to the ATM prospectus and the Amended Equity Distribution Agreement with Piper Sandler &amp; Co. (successor to Piper Jaffray &amp; Co.), which provided net proceeds of approximately $21,271 after deducting commissions and other transaction costs of $729. During the three months ended June 30, 2024, there were no shares of Common Stock sold under the ATM facility. For the six months ended June 30, 2024, the Company sold 4,557,220 shares under the ATM facility which provided net proceeds of approximately $11,855 after deducting commissions and other transaction costs of $530. The remaining authorized balance of the ATM facility was $78,000 as of June 30, 2025.</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Underwritten Public Offering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22, 2024, the Company completed the Underwritten Public Offering of 16,666,667 shares of its common stock at the public offering price of $4.50 per share. In addition, pursuant to the partial exercise of the underwriters' option, on April 22, 2024, the Company sold an additional 559,801 shares of Common Stock. Net proceeds from the Underwritten Public Offering, including the exercise of underwriters' option were $72,868, after deducting underwriting discounts of $4,651. In addition to the underwriting discounts related to this offering, the Company incurred professional fees and other costs totaling $894.</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 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condensed financial statements were prepared in conformity with U.S. GAAP and with Article 10 of Regulation S-X for interim financial reporting. In compliance with those rules, certain information and footnote disclosures normally included in annual financial statements prepared in accordance with U.S. GAAP have been condensed or omitted. These condensed financial statements should be read in conjunction with the Company’s audited financial statements and related notes for the fiscal year ended December 31, 2024 included in the Company’s Annual Report on Form 10-K filed with the SEC on March 5, 2025 (the “2024 Annual Report on Form 10-K”). As included herein, the Condensed Balance Sheet as of December 31, 2024 is derived from the audited financial statements as of that date. In the opinion of management, all adjustments (consisting only of normal recurring adjustments) considered necessary for a fair presentation of the results of interim periods have been included. The accompanying condensed financial statements reflect certain reclassifications from previously issued financial statements to conform to the current presentation. The Company has evaluated subsequent events for disclosure through the date of issuance of the accompanying condensed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reference in the Notes to applicable guidance refers to the authoritative U.S. GAAP as found in the ASC and ASU of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 as of June 30, 2025:</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 xml:space="preserve">Segment Reporting (Topic 280): Improvements to Reportable Segment Disclosures </w:t>
      </w:r>
      <w:r>
        <w:rPr>
          <w:rFonts w:ascii="Times New Roman;serif" w:hAnsi="Times New Roman;serif"/>
          <w:b w:val="false"/>
          <w:color w:val="000000"/>
          <w:sz w:val="20"/>
        </w:rPr>
        <w:t>ASU 2023-0</w:t>
      </w:r>
      <w:r>
        <w:rPr>
          <w:rFonts w:ascii="Times New Roman;serif" w:hAnsi="Times New Roman;serif"/>
          <w:b w:val="false"/>
          <w:i/>
          <w:color w:val="000000"/>
          <w:sz w:val="20"/>
        </w:rPr>
        <w:t>7</w:t>
      </w:r>
      <w:r>
        <w:rPr>
          <w:rFonts w:ascii="Times New Roman;serif" w:hAnsi="Times New Roman;serif"/>
          <w:b w:val="false"/>
          <w:color w:val="000000"/>
          <w:sz w:val="20"/>
        </w:rPr>
        <w:t>, which requires all public entities, including public entities with a single reportable segment, to provide in interim and annual periods one or more measures of segment profit or loss used by the CODM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adopted the new disclosure requirements as of December 31, 2024. Refer to Note 4,</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for the required disclosure.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August 2020, the FASB issued ASU 2020-06, </w:t>
      </w:r>
      <w:r>
        <w:rPr>
          <w:rFonts w:ascii="Times New Roman;serif" w:hAnsi="Times New Roman;serif"/>
          <w:b w:val="false"/>
          <w:i/>
          <w:color w:val="000000"/>
          <w:sz w:val="20"/>
        </w:rPr>
        <w:t>Debt-Debt with Conversion and Other Options (Subtopic 470-20) and Derivatives and Hedging-Contracts in Entity’s Own Equity (Subtopic 815-40)</w:t>
      </w:r>
      <w:r>
        <w:rPr>
          <w:rFonts w:ascii="Times New Roman;serif" w:hAnsi="Times New Roman;serif"/>
          <w:b w:val="false"/>
          <w:color w:val="000000"/>
          <w:sz w:val="20"/>
        </w:rPr>
        <w:t xml:space="preserve">: </w:t>
      </w:r>
      <w:r>
        <w:rPr>
          <w:rFonts w:ascii="Times New Roman;serif" w:hAnsi="Times New Roman;serif"/>
          <w:b w:val="false"/>
          <w:i/>
          <w:color w:val="000000"/>
          <w:sz w:val="20"/>
        </w:rPr>
        <w:t>Accounting for Convertible Instruments and Contracts in an Entity’s Own Equity</w:t>
      </w:r>
      <w:r>
        <w:rPr>
          <w:rFonts w:ascii="Times New Roman;serif" w:hAnsi="Times New Roman;serif"/>
          <w:b w:val="false"/>
          <w:color w:val="000000"/>
          <w:sz w:val="20"/>
        </w:rPr>
        <w:t xml:space="preserve">. This ASU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 Company adopted the new guidance on January 1, 2024. The adoption of this guidance did not have a material impact on the Company’s financial statements.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June 2022, the FASB issued ASU 2022-03, </w:t>
      </w:r>
      <w:r>
        <w:rPr>
          <w:rFonts w:ascii="Times New Roman;serif" w:hAnsi="Times New Roman;serif"/>
          <w:b w:val="false"/>
          <w:i/>
          <w:color w:val="000000"/>
          <w:sz w:val="20"/>
        </w:rPr>
        <w:t>Fair Value Measurement (Topic 820)</w:t>
      </w:r>
      <w:r>
        <w:rPr>
          <w:rFonts w:ascii="Times New Roman;serif" w:hAnsi="Times New Roman;serif"/>
          <w:b w:val="false"/>
          <w:color w:val="000000"/>
          <w:sz w:val="20"/>
        </w:rPr>
        <w:t xml:space="preserve">: </w:t>
      </w:r>
      <w:r>
        <w:rPr>
          <w:rFonts w:ascii="Times New Roman;serif" w:hAnsi="Times New Roman;serif"/>
          <w:b w:val="false"/>
          <w:i/>
          <w:color w:val="000000"/>
          <w:sz w:val="20"/>
        </w:rPr>
        <w:t>Fair Value Measurement of Equity Securities Subject to Contractual Sale Restrictions</w:t>
      </w:r>
      <w:r>
        <w:rPr>
          <w:rFonts w:ascii="Times New Roman;serif" w:hAnsi="Times New Roman;serif"/>
          <w:b w:val="false"/>
          <w:color w:val="000000"/>
          <w:sz w:val="20"/>
        </w:rPr>
        <w:t xml:space="preserve">. This ASU was issued to clarify the guidance in Topic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when measuring the fair value of an equity security subject to contractual restrictions that prohibit the sale of an equity security, and to introduce new disclosure requirements for such equity securities. The Company adopted the new guidance on January 1, 2024. The adoption of this guidance did not have a material impact on the Company’s financial statements.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Adopted as of June 30, 2025:</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will require the Company to disclose the amounts of purchases of inventory, employee compensation, depreciation and intangible asset amortization, as applicable, included in certain expense captions in the Statements of Operations, and Comprehensive Loss as well as qualitatively describe the remaining amounts included in those captions. ASU 2024-03 will also require the Company to disclose both the amount and the Company’s definition of selling expenses. These disclosure requirements will be effective for the Company for fiscal years beginning after December 15, 2026, and for interim periods within fiscal years beginning after December 15, 2027. The Company is currently evaluating the impact from the adoption of ASU 2024-03 on disclosures to its financial statements.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 xml:space="preserve">Income Taxes (Topic 740)—Improvements to Income Tax Disclosures. </w:t>
      </w:r>
      <w:r>
        <w:rPr>
          <w:rFonts w:ascii="Times New Roman;serif" w:hAnsi="Times New Roman;serif"/>
          <w:b w:val="false"/>
          <w:color w:val="000000"/>
          <w:sz w:val="20"/>
        </w:rPr>
        <w:t xml:space="preserve">This ASU was issued to enhance the transparency and decision usefulness of income tax disclosures. The ASU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It further requires disclosure on an annual basis of the following information about income taxes paid: 1. The amount of income taxes paid (net of refunds received) disaggregated by federal (national), state, and foreign taxes 2. The amount of income taxes paid (net of refunds received) disaggregated by individual jurisdictions in which income taxes paid (net of refunds received) is equal to or greater than 5 percent of total income taxes paid (net of refunds received). Additionally, it requires the following information disclosure: 1. Income (or loss) from continuing operations before income tax expense (or benefit) disaggregated between domestic and foreign 2. Income tax expense (or benefit) from continuing operations disaggregated by federal (national), state, and foreign. The ASU eliminates certain current disclosure requirements. These disclosure requirements will be effective for the Company for fiscal years beginning after December 15, 2025, with early adoption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amendments permitted. The Company is currently evaluating the impact from the adoption of ASU 2023-09 on disclosures to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3.    Risks and Uncertainties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assesses liquidity in terms of its ability to generate cash to fund its operating, investing and financing activities. The Company’s cash requirements for the remainder of 2025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June 30, 2025, the Company had $60,536 of cash and cash equivalents.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has experienced a history of net losses. The Company’s accumulated deficits totaled $399,692 as of June 30, 2025. The net losses and accumulated deficits were partially offset by gross margins from sales of commercialized licensed and proprietary products, license fees, milestone and royalty payments from commercial licensees and co-development parties. The Company’s funding requirements have been met by its cash and cash equivalents, as well as its equity and debt offerings, including the 13.5% Senior Secured Notes as further discussed in Note 14,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the ATM facility and other equity offerings, including the underwritten public offering as discussed in Note 1 Part B, </w:t>
      </w:r>
      <w:r>
        <w:rPr>
          <w:rFonts w:ascii="Times New Roman;serif" w:hAnsi="Times New Roman;serif"/>
          <w:b w:val="false"/>
          <w:i/>
          <w:color w:val="000000"/>
          <w:sz w:val="20"/>
        </w:rPr>
        <w:t>Equity Transactions.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Company’s ability to execute its business objectives and achieve profitability over the longer term cannot be assured, the Company’s on-going business, existing cash and cash equivalents, expense management activities, including, but not limited to the ceasing of R&amp;D activities, as well as access to the equity capital markets through its ATM facility, provide near term liquidity for the Company to fund its operating needs for at least the next twelve months as it continues to execute its business strategy.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4</w:t>
      </w:r>
      <w:r>
        <w:rPr>
          <w:rFonts w:ascii="Times New Roman;serif" w:hAnsi="Times New Roman;serif"/>
          <w:b w:val="false"/>
          <w:color w:val="000000"/>
          <w:sz w:val="20"/>
        </w:rPr>
        <w:t xml:space="preserve">. </w:t>
      </w:r>
      <w:r>
        <w:rPr>
          <w:rFonts w:ascii="Times New Roman;serif" w:hAnsi="Times New Roman;serif"/>
          <w:b/>
          <w:color w:val="000000"/>
          <w:sz w:val="20"/>
        </w:rPr>
        <w:t>Segment Reporting</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discrete financial information is available for evaluation by the CODM in deciding how to allocate resources and in assessing performance. For the six months ended June 30, 2025 and 2024, the Company has identified one operating and reportable segment. The Company defines its operating segment based on internally reported financial information that is regularly reviewed by the CODM to analyze financial performance, make decisions, and allocate resources. The Company's CEO is the CODM. The Company manages its operations as a single segment for purposes of assessing performance and making operating decisions. This segment encompasses the development and advancement of a product pipeline for the treatment of severe allergic reactions, including anaphylaxis, and the Adrenaverse epinephrine prodrug pipeline platform. Additionally, the Company serves as the exclusive manufacturer for its proprietary product, Libervant, while it had U.S. market access, and four licensed commercialized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reviews the segment's profit or loss based on net loss reported on the Condensed Statements of Operations and Comprehensive Loss. The CODM also considers forecast-to-actual variances on a monthly basis for expenses deemed significant. Furthermore, the CODM reviews the segment's assets based on total assets reported on the Condensed Balance Sheets. All long-lived assets are held in the United States. While the Company generated $10,003 and $20,099 in revenues for the three months ended June 30, 2025 and 2024, respectively, and $18,723 and $32,152 in revenues for the six months ended June 30, 2025 and 2024, respectively, management expects the Company to continue to incur significant expenses and operating losses for the foreseeable future as it advances product candidates through all stages of development and clinical trials, ultimately seeking regulatory approval. The CODM uses cash forecast models to guide investment decisions and assess entity-wide operating results and performance. Net loss is used to monitor budget and rolling forecasts versus actual results. The CODM views specific categories within R&amp;D expenses, selling expenses, and general and administrative expenses as significant due to their direct correlation with cash burn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reported revenues to net loss under the significant expense principle for the three and six months ended June 30, 2025 and 2024:</w:t>
      </w:r>
    </w:p>
    <w:tbl>
      <w:tblPr>
        <w:tblW w:w="9874" w:type="dxa"/>
        <w:jc w:val="left"/>
        <w:tblInd w:w="0" w:type="dxa"/>
        <w:tblLayout w:type="fixed"/>
        <w:tblCellMar>
          <w:top w:w="28" w:type="dxa"/>
          <w:left w:w="28" w:type="dxa"/>
          <w:bottom w:w="28" w:type="dxa"/>
          <w:right w:w="28" w:type="dxa"/>
        </w:tblCellMar>
      </w:tblPr>
      <w:tblGrid>
        <w:gridCol w:w="1565"/>
        <w:gridCol w:w="1372"/>
        <w:gridCol w:w="1382"/>
        <w:gridCol w:w="223"/>
        <w:gridCol w:w="841"/>
        <w:gridCol w:w="115"/>
        <w:gridCol w:w="115"/>
        <w:gridCol w:w="115"/>
        <w:gridCol w:w="115"/>
        <w:gridCol w:w="223"/>
        <w:gridCol w:w="762"/>
        <w:gridCol w:w="115"/>
        <w:gridCol w:w="109"/>
        <w:gridCol w:w="109"/>
        <w:gridCol w:w="109"/>
        <w:gridCol w:w="211"/>
        <w:gridCol w:w="796"/>
        <w:gridCol w:w="109"/>
        <w:gridCol w:w="109"/>
        <w:gridCol w:w="109"/>
        <w:gridCol w:w="109"/>
        <w:gridCol w:w="211"/>
        <w:gridCol w:w="79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1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Manufacture and Supply Expenses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R&amp;D Project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Anaphylm project expenses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AQST-108 project expenses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Libervant project expenses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R&amp;D other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1</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Selling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3</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expenses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General &amp; Administrative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5</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Other</w:t>
            </w:r>
            <w:r>
              <w:rPr>
                <w:rFonts w:ascii="Times New Roman;serif" w:hAnsi="Times New Roman;serif"/>
                <w:b w:val="false"/>
                <w:color w:val="000000"/>
                <w:sz w:val="13"/>
              </w:rPr>
              <w:t>6</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income/(expenses), net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1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 R&amp;D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 Other Research and Development expenses include preclinical, consulting, maintenance, and testing fees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 Selling Personnel costs include payroll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 Other Selling expenses include commercialization and other related expenses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 G&amp;A Personnel costs include payroll expenses, share-based compensation expenses and severance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6 - Other General and Administrative expenses include legal/patent fees, insurance fees, IT expenses, investor relations expenses, regulatory fees, facility and other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Revenues and Trade Receivables,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revenues include (i) sales of manufactured products pursuant to contracts with commercialization licensees, (ii) license and royalty revenues, (iii) co-development and research fees generally in the form of milestone payments, and (iv) sales of its proprietary CNS product, Libervant, for patients between two to five years of age while Libervant had U.S. market access through April 2025. The Company recognizes revenue to reflect the transfer of promised goods or services to customers in an amount that reflects the consideration to which the Company expects to be entitled in exchange for those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Performance Obligations</w:t>
      </w:r>
      <w:r>
        <w:rPr>
          <w:color w:val="000000"/>
        </w:rPr>
        <w:t xml:space="preserve"> </w:t>
      </w:r>
      <w:r>
        <w:rPr>
          <w:rFonts w:ascii="Times New Roman;serif" w:hAnsi="Times New Roman;serif"/>
          <w:b w:val="false"/>
          <w:color w:val="000000"/>
          <w:sz w:val="20"/>
        </w:rPr>
        <w:t>- 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invoices or statements of work.</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Manufacture and supply revenue</w:t>
      </w:r>
      <w:r>
        <w:rPr>
          <w:color w:val="000000"/>
        </w:rPr>
        <w:t xml:space="preserve"> – </w:t>
      </w:r>
      <w:r>
        <w:rPr>
          <w:rFonts w:ascii="Times New Roman;serif" w:hAnsi="Times New Roman;serif"/>
          <w:b w:val="false"/>
          <w:color w:val="000000"/>
          <w:sz w:val="20"/>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License and Royalty Revenu</w:t>
      </w:r>
      <w:r>
        <w:rPr>
          <w:rFonts w:ascii="Times New Roman;serif" w:hAnsi="Times New Roman;serif"/>
          <w:b w:val="false"/>
          <w:color w:val="000000"/>
          <w:sz w:val="20"/>
        </w:rPr>
        <w:t>e – 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revenue is estimated and recognized when sales under supply agreements with commercial licensees are recorded, absent any contractual constraints or collectability uncertainties. Royalties based on sales of licensed products have been recorded in this manner.</w:t>
      </w:r>
    </w:p>
    <w:p>
      <w:pPr>
        <w:pStyle w:val="TextBody"/>
        <w:bidi w:val="0"/>
        <w:spacing w:lineRule="auto" w:line="288" w:before="0" w:after="120"/>
        <w:ind w:left="0" w:right="0" w:firstLine="720"/>
        <w:jc w:val="both"/>
        <w:rPr/>
      </w:pPr>
      <w:r>
        <w:rPr>
          <w:rFonts w:ascii="Times New Roman;serif" w:hAnsi="Times New Roman;serif"/>
          <w:b w:val="false"/>
          <w:color w:val="000000"/>
          <w:sz w:val="20"/>
        </w:rPr>
        <w:t>Revenue recognition arising from milestone payments is dependent upon the facts and circumstances surrounding the milestone payments. Milestone payments based on a non-sales metric such as a development-based milestone (i</w:t>
      </w:r>
      <w:r>
        <w:rPr>
          <w:rFonts w:ascii="Times New Roman;serif" w:hAnsi="Times New Roman;serif"/>
          <w:b w:val="false"/>
          <w:i/>
          <w:color w:val="000000"/>
          <w:sz w:val="20"/>
        </w:rPr>
        <w:t>.e</w:t>
      </w:r>
      <w:r>
        <w:rPr>
          <w:rFonts w:ascii="Times New Roman;serif" w:hAnsi="Times New Roman;serif"/>
          <w:b w:val="false"/>
          <w:color w:val="000000"/>
          <w:sz w:val="20"/>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Co-development and Research Fees</w:t>
      </w:r>
      <w:r>
        <w:rPr>
          <w:color w:val="000000"/>
        </w:rPr>
        <w:t xml:space="preserve"> – </w:t>
      </w:r>
      <w:r>
        <w:rPr>
          <w:rFonts w:ascii="Times New Roman;serif" w:hAnsi="Times New Roman;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R&amp;D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ind w:left="0" w:right="0" w:firstLine="720"/>
        <w:jc w:val="both"/>
        <w:rPr/>
      </w:pPr>
      <w:r>
        <w:rPr>
          <w:rFonts w:ascii="Times New Roman;serif" w:hAnsi="Times New Roman;serif"/>
          <w:b w:val="false"/>
          <w:i/>
          <w:color w:val="000000"/>
          <w:sz w:val="20"/>
        </w:rPr>
        <w:t>Proprietary product revenue, net</w:t>
      </w:r>
      <w:r>
        <w:rPr>
          <w:color w:val="000000"/>
        </w:rPr>
        <w:t xml:space="preserve"> </w:t>
      </w:r>
      <w:r>
        <w:rPr>
          <w:rFonts w:ascii="Times New Roman;serif" w:hAnsi="Times New Roman;serif"/>
          <w:b w:val="false"/>
          <w:color w:val="000000"/>
          <w:sz w:val="20"/>
        </w:rPr>
        <w:t xml:space="preserve">- 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estimates are adjusted to actual allowance amounts. Provisions for these estimated amounts are reviewed and adjusted on no less than a quarterly basis.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Balance Sheets. As of June 30, 2025, and December 31, 2024, such contract assets were $645 and $578, respectively, consisting primarily of products and services provided under specific contracts to customers for which earnings processes have been met prior to shipment of goods or full delivery of completed services, as well as estimated receivables from contracts with third parties.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Balance Sheets. As remaining performance obligations are satisfied, an appropriate portion of the deferred revenue balance is credited to earnings. As of June 30, 2025 and December 31, 2024, such contract liabilities were $21,027 and $21,053, respectively.</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Costs to Obtain Contracts</w:t>
      </w:r>
      <w:r>
        <w:rPr>
          <w:color w:val="000000"/>
        </w:rPr>
        <w:t xml:space="preserve"> </w:t>
      </w:r>
      <w:r>
        <w:rPr>
          <w:rFonts w:ascii="Times New Roman;serif" w:hAnsi="Times New Roman;serif"/>
          <w:b w:val="false"/>
          <w:color w:val="000000"/>
          <w:sz w:val="20"/>
        </w:rPr>
        <w:t>- in certain situations, the Company may incur incremental costs of obtaining a contract with a customer. These costs, if expected to be recovered, are recognized as an asset and reflected as other assets within the Condensed Balance Sheets. The asset is amortized on a systematic basis that is consistent with the transfer to the customer of the goods or services to which the asset relates. As of June 30, 2025 and December 31, 2024, such costs to obtain contracts were $465 and $480, respectively.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revenues were comprised of the following:</w:t>
      </w:r>
    </w:p>
    <w:tbl>
      <w:tblPr>
        <w:tblW w:w="8296" w:type="dxa"/>
        <w:jc w:val="left"/>
        <w:tblInd w:w="0" w:type="dxa"/>
        <w:tblLayout w:type="fixed"/>
        <w:tblCellMar>
          <w:top w:w="28" w:type="dxa"/>
          <w:left w:w="28" w:type="dxa"/>
          <w:bottom w:w="28" w:type="dxa"/>
          <w:right w:w="28" w:type="dxa"/>
        </w:tblCellMar>
      </w:tblPr>
      <w:tblGrid>
        <w:gridCol w:w="1049"/>
        <w:gridCol w:w="922"/>
        <w:gridCol w:w="92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License and royalty revenue</w:t>
            </w:r>
            <w:r>
              <w:rPr>
                <w:rFonts w:ascii="Times New Roman;serif" w:hAnsi="Times New Roman;serif"/>
                <w:b w:val="false"/>
                <w:color w:val="000000"/>
                <w:sz w:val="13"/>
              </w:rPr>
              <w:t>a</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Co-development and research fees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revenue,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License and royalty revenue decreased 93%, or $10,381 for the three months ended June 30, 2025 compared to the same period in the prior year and 87%, or $10,723 for the six months ended June 30, 2025 compared to the same period in the prior year. These decreases were primarily due to the one-time recognition of deferred revenues of $7,000 due to the termination of the Licensing and Supply Agreement with Haisco and $3,317 due to the termination of the Licensing Agreement with MTPA in the prior year.</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disaggregated net revenue by geographic area: </w:t>
      </w:r>
    </w:p>
    <w:tbl>
      <w:tblPr>
        <w:tblW w:w="6886" w:type="dxa"/>
        <w:jc w:val="left"/>
        <w:tblInd w:w="0" w:type="dxa"/>
        <w:tblLayout w:type="fixed"/>
        <w:tblCellMar>
          <w:top w:w="28" w:type="dxa"/>
          <w:left w:w="28" w:type="dxa"/>
          <w:bottom w:w="28" w:type="dxa"/>
          <w:right w:w="28" w:type="dxa"/>
        </w:tblCellMar>
      </w:tblPr>
      <w:tblGrid>
        <w:gridCol w:w="539"/>
        <w:gridCol w:w="472"/>
        <w:gridCol w:w="47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Ex-United States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United States revenues were derived primarily from Indivior (manufacture and supply revenue, and co-development and research fees). Ex-United States revenues were derived primarily from Hypera (manufacture and supply revenue, and license and royalty revenue), and Indivior (manufacture and supply revenue, license and royalty revenue and co-development and research fees) for revenue markets outside of the United States.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United States revenues were derived primarily from Indivior (manufacture and supply revenue, and co-development and research fees), and Assertio (manufacture and supply revenue, license and royalty revenue and co-development and research fees). Ex-United States revenues were derived primarily from Hypera (manufacture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supply revenue, and license and royalty revenue), and Indivior (manufacture and supply revenue, license and royalty revenue and co-development and research fees) for revenue markets outside of the United States.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2024, United States revenues were derived primarily from Indivior (manufacture and supply revenue, and co-development and research fees), MTPA (milestone revenue that was previously recorded as deferred revenue and recognized due to the termination of the contract), and Assertio (manufacture and supply revenue, license and royalty revenue and co-development and research fees).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2024, ex-United States revenues were derived primarily from Indivior (manufacture and supply revenue, license and royalty revenue and co-development and research fees), Haisco (an upfront payment received in September 2022 that was previously recorded as deferred revenue and recognized due to the termination of the contract), and Hypera (manufacture and supply revenue) for revenue markets outside of the United States.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 consist of the following:</w:t>
      </w:r>
    </w:p>
    <w:tbl>
      <w:tblPr>
        <w:tblW w:w="9317" w:type="dxa"/>
        <w:jc w:val="left"/>
        <w:tblInd w:w="0" w:type="dxa"/>
        <w:tblLayout w:type="fixed"/>
        <w:tblCellMar>
          <w:top w:w="28" w:type="dxa"/>
          <w:left w:w="28" w:type="dxa"/>
          <w:bottom w:w="28" w:type="dxa"/>
          <w:right w:w="28" w:type="dxa"/>
        </w:tblCellMar>
      </w:tblPr>
      <w:tblGrid>
        <w:gridCol w:w="2405"/>
        <w:gridCol w:w="2118"/>
        <w:gridCol w:w="2121"/>
        <w:gridCol w:w="211"/>
        <w:gridCol w:w="721"/>
        <w:gridCol w:w="109"/>
        <w:gridCol w:w="109"/>
        <w:gridCol w:w="109"/>
        <w:gridCol w:w="109"/>
        <w:gridCol w:w="280"/>
        <w:gridCol w:w="819"/>
        <w:gridCol w:w="206"/>
      </w:tblGrid>
      <w:tr>
        <w:trPr/>
        <w:tc>
          <w:tcPr>
            <w:tcW w:w="240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and other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sales-related allowances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into Accrued distribution expenses and sales-related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and other receivables totaled $2,210 and $2,473 as of June 30, 2025 and December 31, 2024,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as well as estimated receivables from contracts with third parties. Other receivables include the current portion related to the Monetization royalty receivable and other receivables. Sales-related allowances as of June 30, 2025 and December 31, 2024 were estimated in relation to revenues recognized for sales of Libervant for patients between two to five years of age while Libervant had U.S. market access.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allowance for credit losses on accounts receivable, which is recorded as a reduction to accounts receivable. Changes in the allowance are classified as Selling, general and administrative expenses in the Statements of Operations and Comprehensive Loss. The Company assesses collectability by reviewing accounts receivable on a collective basis where similar characteristics exist and on an individual basis when it identifies specific customers with known disputes or collectability issues. In determining the amount of the allowance for credit losses, the Company considers historical collectability based on past due status. It also considers customer-specific information, current market conditions and reasonable and supportable forecasts of future economic conditions to inform adjustments to historical loss data. On an ongoing basis, management evaluates the adequacy of these reserves. The allowance for credit losses was $0 as of June 30, 2025 and December 31, 2024.</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w:t>
      </w:r>
    </w:p>
    <w:tbl>
      <w:tblPr>
        <w:tblW w:w="5381" w:type="dxa"/>
        <w:jc w:val="left"/>
        <w:tblInd w:w="0" w:type="dxa"/>
        <w:tblLayout w:type="fixed"/>
        <w:tblCellMar>
          <w:top w:w="28" w:type="dxa"/>
          <w:left w:w="28" w:type="dxa"/>
          <w:bottom w:w="28" w:type="dxa"/>
          <w:right w:w="28" w:type="dxa"/>
        </w:tblCellMar>
      </w:tblPr>
      <w:tblGrid>
        <w:gridCol w:w="1065"/>
        <w:gridCol w:w="936"/>
        <w:gridCol w:w="939"/>
        <w:gridCol w:w="235"/>
        <w:gridCol w:w="453"/>
        <w:gridCol w:w="121"/>
        <w:gridCol w:w="109"/>
        <w:gridCol w:w="109"/>
        <w:gridCol w:w="109"/>
        <w:gridCol w:w="357"/>
        <w:gridCol w:w="686"/>
        <w:gridCol w:w="262"/>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reduction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Sales-Related Allowances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from sales of products are recorded net of prompt payment discounts, wholesaler service fees, returns allowances, chargebacks,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no less than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provides a summary of activity with respect to sales-related allowances:</w:t>
      </w:r>
    </w:p>
    <w:tbl>
      <w:tblPr>
        <w:tblW w:w="9085" w:type="dxa"/>
        <w:jc w:val="center"/>
        <w:tblInd w:w="0" w:type="dxa"/>
        <w:tblLayout w:type="fixed"/>
        <w:tblCellMar>
          <w:top w:w="28" w:type="dxa"/>
          <w:left w:w="28" w:type="dxa"/>
          <w:bottom w:w="28" w:type="dxa"/>
          <w:right w:w="28" w:type="dxa"/>
        </w:tblCellMar>
      </w:tblPr>
      <w:tblGrid>
        <w:gridCol w:w="2407"/>
        <w:gridCol w:w="2115"/>
        <w:gridCol w:w="2122"/>
        <w:gridCol w:w="235"/>
        <w:gridCol w:w="453"/>
        <w:gridCol w:w="121"/>
        <w:gridCol w:w="109"/>
        <w:gridCol w:w="109"/>
        <w:gridCol w:w="109"/>
        <w:gridCol w:w="357"/>
        <w:gridCol w:w="686"/>
        <w:gridCol w:w="262"/>
      </w:tblGrid>
      <w:tr>
        <w:trPr/>
        <w:tc>
          <w:tcPr>
            <w:tcW w:w="24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 credits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into Accrued distribution expenses and sales-related allowances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Accruals for returns allowances and prompt pay discounts are reflected as a direct reduction of trade receivables as of June 30, 2025 and December 31, 2024 and accruals for wholesaler service fees, co-pay support redemptions and other rebates are reflected as current liabilities. The accrued balances relative to these provisions included in Trade and other receivables, net and accrued expenses were $0 and $1,008, respectively, as of June 30, 2025, and $48 and $665, respectively, as of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xml:space="preserve">. See Note 13, </w:t>
      </w:r>
      <w:r>
        <w:rPr>
          <w:rFonts w:ascii="Times New Roman;serif" w:hAnsi="Times New Roman;serif"/>
          <w:b w:val="false"/>
          <w:i/>
          <w:color w:val="000000"/>
          <w:sz w:val="20"/>
        </w:rPr>
        <w:t>Accrued Expenses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Major Customers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Customers are considered major customers when net revenue exceeds 10% of total revenue for the period or outstanding receivable balances exceed 10% of total receivables. For the six months ended June 30, 2025, Indivior and Hypera, represented approximately 67% and 23%, of total revenue, respectively. As of June 30, 2025, Indivior and Hypera exceeded the 10% threshold for outstanding receivable balances and represented approximately 66% and 17% of total trade and other receivables, respectively. For the six months ended June 30, 2024, Indivior, Haisco, and MTPA exceeded the 10% threshold for revenue and </w:t>
      </w:r>
      <w:r>
        <w:rPr>
          <w:rFonts w:ascii="Times New Roman;serif" w:hAnsi="Times New Roman;serif"/>
          <w:b w:val="false"/>
          <w:color w:val="000000"/>
          <w:sz w:val="20"/>
          <w:shd w:fill="FFFFFF" w:val="clear"/>
        </w:rPr>
        <w:t xml:space="preserve">represented approximately </w:t>
      </w:r>
      <w:r>
        <w:rPr>
          <w:rFonts w:ascii="Times New Roman;serif" w:hAnsi="Times New Roman;serif"/>
          <w:b w:val="false"/>
          <w:color w:val="000000"/>
          <w:sz w:val="20"/>
        </w:rPr>
        <w:t>54%, 22%, and 11%</w:t>
      </w:r>
      <w:r>
        <w:rPr>
          <w:color w:val="000000"/>
          <w:shd w:fill="FFFFFF" w:val="clear"/>
        </w:rPr>
        <w:t xml:space="preserve"> </w:t>
      </w:r>
      <w:r>
        <w:rPr>
          <w:rFonts w:ascii="Times New Roman;serif" w:hAnsi="Times New Roman;serif"/>
          <w:b w:val="false"/>
          <w:color w:val="000000"/>
          <w:sz w:val="20"/>
          <w:shd w:fill="FFFFFF" w:val="clear"/>
        </w:rPr>
        <w:t>of total revenue, including the one-time recognition of deferred revenue, respectively. As of December 31, 2024,</w:t>
      </w:r>
      <w:r>
        <w:rPr>
          <w:color w:val="000000"/>
        </w:rPr>
        <w:t xml:space="preserve"> </w:t>
      </w:r>
      <w:r>
        <w:rPr>
          <w:rFonts w:ascii="Times New Roman;serif" w:hAnsi="Times New Roman;serif"/>
          <w:b w:val="false"/>
          <w:color w:val="000000"/>
          <w:sz w:val="20"/>
        </w:rPr>
        <w:t>Indivior and Hypera exceeded the 10% threshold for outstanding receivable balances and represented 41% and 16% of total trade and other receivables,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Material Agreements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Commercial Exploitation Agreement with Indivior</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August 2008, the Company entered into the Indivior License Agreement (with subsequent amendments) with Reckitt Benckiser Pharmaceuticals, Inc. who was later succeeded to in interest by Indivior. Pursuant to the Indivior License Agreement, the Company agreed to manufacture and supply Indivior’s requirements for Suboxone</w:t>
      </w:r>
      <w:r>
        <w:rPr>
          <w:rFonts w:ascii="Times New Roman;serif" w:hAnsi="Times New Roman;serif"/>
          <w:b w:val="false"/>
          <w:color w:val="000000"/>
          <w:sz w:val="13"/>
        </w:rPr>
        <w:t>®</w:t>
      </w:r>
      <w:r>
        <w:rPr>
          <w:rFonts w:ascii="Times New Roman;serif" w:hAnsi="Times New Roman;serif"/>
          <w:b w:val="false"/>
          <w:color w:val="000000"/>
          <w:sz w:val="20"/>
        </w:rPr>
        <w:t>, a sublingual film formulation, both inside and outside the United States on an exclusive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adjustments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one-year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March 2, 2023, the Company and Indivior entered into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expire of the product patents covered under the Indivior License Agreement; and (ii) agreeing to transfer pricing and payment terms for supplied product under the Indivior License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License Agreement with Sunovion Pharmaceuticals,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2016, the Company entered into a license agreement with Cynapsus Therapeutics Inc. (which was later succeeded to in interest by Sunovion),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March 16, 2020, the Company entered into the First Amendment. The First Amendment was entered into for the primary purpose of amending the Sunovion License Agreement as follows: (i) including the United Kingdom and any other country currently in the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First Amendment.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Purchase and Sale Agreement with an affiliate of Marathon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the Company entered into the Monetization Agreement with Marathon. Under the terms of the Monetization Agreement, the Company sold to Marathon all of its contractual rights to receive royalties and milestone payments due under the Sunovion License Agreement related to Sunovion’s apomorphine product, KYNMOBI. In exchange for the sale of these rights, the Company received an upfront payment from Marathon of $40,000 and an additional payment of $10,000 through the achievement of the first milestone. The Company has received an aggregate amount of $50,000 through June 30, 2025 under the Monetization Agreement.</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In June 2023, Sunovion announced that it had voluntarily withdrawn KYNMOBI from the U.S. and Canadian markets; therefore, the Company likely will not receive any of the additional contingent payments under the Monetization agreement.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for further details on the accounting for the Monetization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Agreement to Terminate CLA with Zevra Therapeutics, Inc. (formerly KemPharm)</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2012, the Company entered into an agreement with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combinations involving Zevra and collaborations, royalty arrangements, or other transactions from which Zevra may realize value from these compounds, including the product Azstarys</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and Supply Agreement with Haisco for Exservan™ (Riluzole Oral Film) for ALS Treatment in China</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the Haisco Agreement with Haisco, effective as of March 3, 2022, pursuant to which Aquestive granted Haisco an exclusive license to develop and commercialize Exservan™ (riluzole oral film) for the treatment of ALS in China. Under the terms of the Haisco Agreement, Aquestive was the exclusive sole manufacturer and supplier for Exservan in China. Under the Haisco Agreement, as amended, the Company received a $7,000 upfront cash payment in September 2022 and was entitled to receive regulatory milestone payments and double-digit royalties on net sales of Exservan in China and earn manufacturing revenue upon the sale of Exservan in China. In June 2024, the Haisco Agreement was terminated, and the Company will not receive any contingent payments under the Haisco Agreement. The termination agreement released all parties from any existing or ongoing obligations. Commissions of $134 that had been capitalized were expensed immediately in Selling, general, and administrative expenses on the Condensed Statements of Operations and Comprehensive Loss. The Company recognized deferred revenue of $7,000 for the upfront payment received in September 2022 on the Company's condensed financial statements for the three and six months ended June 30, 2024.</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Licensing and Supply Agreement with Atnahs Pharma UK Limited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the Pharmanovia Agreement, effective as of September 26, 2022, pursuant to which the Company granted Pharmanovia an exclusive license to certain of the Company’s intellectual property to develop and commercialize Libervant™ (diazepam) Buccal Film for the treatment of prolonged or acute, convulsive seizures in all ages in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March 27, 2023, the Company amended the Pharmanovia Agreement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 Latin America, Africa and Asia Pacific. Pursuant to the terms of the Pharmanovia Amendment, the Company received a non-refundable payment of $2,000 from Pharmanovia in connection with the execution of the Pharmanovia Amendment.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Agreement with Assertio Holdings, Inc.</w:t>
      </w:r>
    </w:p>
    <w:p>
      <w:pPr>
        <w:pStyle w:val="TextBody"/>
        <w:bidi w:val="0"/>
        <w:spacing w:lineRule="auto" w:line="288" w:before="0" w:after="120"/>
        <w:ind w:left="0" w:right="0" w:firstLine="720"/>
        <w:jc w:val="both"/>
        <w:rPr/>
      </w:pPr>
      <w:r>
        <w:rPr>
          <w:rFonts w:ascii="Times New Roman;serif" w:hAnsi="Times New Roman;serif"/>
          <w:b w:val="false"/>
          <w:color w:val="000000"/>
          <w:sz w:val="20"/>
        </w:rPr>
        <w:t>Effective as of October 26, 2022, the Company entered into the Assertio Agreement to license Sympazan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(clobazam) oral film for the adjunctive treatment of seizures associated with Lennox‐Gastaut syndrome in patients aged two years of age and older. Under the terms of the Assertio Agreement, the Company granted to Assertio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Licensing Agreement with Mitsubishi Tanabe Pharma America,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2021, the Company announced that Aquestive granted an exclusive license to MTPA for the commercialization of Exservan in the United States.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under the Second Amendment to the License and Supply Agreement, MTPA and the Company mutually agreed to terminate the agreement. As of June 30, 2024 and as part of the termination, the parties were released from any existing or ongoing obligations (except for certain limited non-material post-termination obligations). Upon termination, deferred revenue of $3,317 was recognized for milestone payments that had been received. Commissions of $57 that had been capitalized were expensed immediately in Selling, general, and administrative expenses on the Condensed Statements of Operations and Comprehensive Loss for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7.    Financial Instruments – Fair Value Measurements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1 — Observable quoted prices in active markets for identical assets or liabilities.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2 — Observable prices that are based on inputs not quoted on active markets but corroborated by market data.</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Level 3 — Unobservable inputs that are supported by little or no market activity, such as pricing models, discounted cash flow methodologies and similar techniques.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Condensed Balance Sheets for Trade and other receivables, prepaid and other current assets, accounts payable and accrued expenses, and deferred revenue approximate their fair values based on the short-term maturity of these assets and liabilities.</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Company granted warrants to certain noteholders in connection with its debt repayment and debt refinancing of the 12.5% Notes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The warrants expired on June 30, 2025. See Note 15</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new warrants at $2.60 per share.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15</w:t>
      </w:r>
      <w:r>
        <w:rPr>
          <w:rFonts w:ascii="Times New Roman;serif" w:hAnsi="Times New Roman;serif"/>
          <w:b w:val="false"/>
          <w:i/>
          <w:color w:val="000000"/>
          <w:sz w:val="20"/>
        </w:rPr>
        <w:t>, Warrants</w:t>
      </w:r>
      <w:r>
        <w:rPr>
          <w:color w:val="000000"/>
        </w:rPr>
        <w:t xml:space="preserve"> </w:t>
      </w:r>
      <w:r>
        <w:rPr>
          <w:rFonts w:ascii="Times New Roman;serif" w:hAnsi="Times New Roman;serif"/>
          <w:b w:val="false"/>
          <w:color w:val="000000"/>
          <w:sz w:val="20"/>
        </w:rPr>
        <w:t>for further information on these warrants.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in connection with the issuance of the 13.5% Notes, the Company and the Note Holders entered into the Royalty Right Agreements dated as of November 1, 2023, which provides the Note Holders: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Those Royalty Agreements were valued based on Level 3 inputs and their fair value was based primarily on internal management estimates developed based on third-party data and reflect management’s judgements, current market conditions, and forecasts. The initial fair value measurement of the Royalty Right Agreements was determined based on significant unobservable inputs, including the discount rate, estimated probabilities of success, and the estimated amount of future sales of Anaphylm and Libervant. See Note 14,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Inventories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4248" w:type="dxa"/>
        <w:jc w:val="left"/>
        <w:tblInd w:w="0" w:type="dxa"/>
        <w:tblLayout w:type="fixed"/>
        <w:tblCellMar>
          <w:top w:w="28" w:type="dxa"/>
          <w:left w:w="28" w:type="dxa"/>
          <w:bottom w:w="28" w:type="dxa"/>
          <w:right w:w="28" w:type="dxa"/>
        </w:tblCellMar>
      </w:tblPr>
      <w:tblGrid>
        <w:gridCol w:w="609"/>
        <w:gridCol w:w="533"/>
        <w:gridCol w:w="538"/>
        <w:gridCol w:w="211"/>
        <w:gridCol w:w="616"/>
        <w:gridCol w:w="109"/>
        <w:gridCol w:w="109"/>
        <w:gridCol w:w="109"/>
        <w:gridCol w:w="109"/>
        <w:gridCol w:w="280"/>
        <w:gridCol w:w="819"/>
        <w:gridCol w:w="206"/>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material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Property and Equipment, Net</w:t>
      </w:r>
    </w:p>
    <w:tbl>
      <w:tblPr>
        <w:tblW w:w="8053" w:type="dxa"/>
        <w:jc w:val="left"/>
        <w:tblInd w:w="0" w:type="dxa"/>
        <w:tblLayout w:type="fixed"/>
        <w:tblCellMar>
          <w:top w:w="28" w:type="dxa"/>
          <w:left w:w="28" w:type="dxa"/>
          <w:bottom w:w="28" w:type="dxa"/>
          <w:right w:w="28" w:type="dxa"/>
        </w:tblCellMar>
      </w:tblPr>
      <w:tblGrid>
        <w:gridCol w:w="1487"/>
        <w:gridCol w:w="1307"/>
        <w:gridCol w:w="1315"/>
        <w:gridCol w:w="314"/>
        <w:gridCol w:w="314"/>
        <w:gridCol w:w="316"/>
        <w:gridCol w:w="109"/>
        <w:gridCol w:w="109"/>
        <w:gridCol w:w="109"/>
        <w:gridCol w:w="211"/>
        <w:gridCol w:w="721"/>
        <w:gridCol w:w="109"/>
        <w:gridCol w:w="109"/>
        <w:gridCol w:w="109"/>
        <w:gridCol w:w="109"/>
        <w:gridCol w:w="253"/>
        <w:gridCol w:w="867"/>
        <w:gridCol w:w="185"/>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w:t>
              <w:br/>
              <w:t>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network equipment and software</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Times New Roman;serif" w:hAnsi="Times New Roman;serif"/>
          <w:b w:val="false"/>
          <w:color w:val="000000"/>
          <w:sz w:val="20"/>
        </w:rPr>
        <w:t>(a)</w:t>
      </w:r>
      <w:r>
        <w:rPr>
          <w:rFonts w:ascii="Times New Roman;serif" w:hAnsi="Times New Roman;serif"/>
          <w:b w:val="false"/>
          <w:color w:val="000000"/>
          <w:sz w:val="20"/>
        </w:rPr>
        <w:t>Leasehold improvements are amortized over the shorter of the lease term or their estimated useful lives.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total depreciation and amortization related to property and equipment was $140 and $165, respectively. For the six months ended June 30, 2025 and 2024, these expenses totaled 279 and $333,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10.    Right-of-Use Assets and Lease Obligations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Times New Roman;serif" w:hAnsi="Times New Roman;serif"/>
          <w:b w:val="false"/>
          <w:i/>
          <w:color w:val="000000"/>
          <w:sz w:val="20"/>
        </w:rPr>
        <w:t>Leases</w:t>
      </w:r>
      <w:r>
        <w:rPr>
          <w:rFonts w:ascii="Times New Roman;serif" w:hAnsi="Times New Roman;serif"/>
          <w:b w:val="false"/>
          <w:color w:val="000000"/>
          <w:sz w:val="20"/>
        </w:rPr>
        <w:t>, which require classification as financing leases and, accordingly, these leases are accounted for as operating leases. These leases, as amended, provide remaining terms between 2.8 years and 8.3 years, including renewal options expected to be exercised to extend the lease periods. Commitments under finance leases are not significant, and are included in Property and equipment, net, and Notes Payable, net on the Condensed Balance Sheets.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recognize a right-to-use asset and lease liability for short-term leases, which have terms of 12 months or less on its Condensed Balance Sheets. For longer-term lease arrangements that are recognized on the Company’s Condensed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lease costs are recorded in manufacture and supply, R&amp;D and selling, general and administrative expenses in its Condensed Statements of Operations and Comprehensive Loss. For the three and six months ended June 30, 2025, total operating lease expenses totaled $457 and $884, respectively including variable lease expenses such as common area maintenance and operating costs of $124 and $217, respectively. For the three and six months ended June 30, 2024, total operating lease expenses totaled $444 and $888, respectively including variable lease expenses such as common area maintenance and operating costs of $111 and $226,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payments due under its operating leases are as follows: </w:t>
      </w:r>
    </w:p>
    <w:tbl>
      <w:tblPr>
        <w:tblW w:w="3635" w:type="dxa"/>
        <w:jc w:val="left"/>
        <w:tblInd w:w="0" w:type="dxa"/>
        <w:tblLayout w:type="fixed"/>
        <w:tblCellMar>
          <w:top w:w="28" w:type="dxa"/>
          <w:left w:w="28" w:type="dxa"/>
          <w:bottom w:w="28" w:type="dxa"/>
          <w:right w:w="28" w:type="dxa"/>
        </w:tblCellMar>
      </w:tblPr>
      <w:tblGrid>
        <w:gridCol w:w="960"/>
        <w:gridCol w:w="844"/>
        <w:gridCol w:w="850"/>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Intangible Assets,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identifiable intangible assets, all of which are finite lived:</w:t>
      </w:r>
    </w:p>
    <w:tbl>
      <w:tblPr>
        <w:tblW w:w="5267" w:type="dxa"/>
        <w:jc w:val="left"/>
        <w:tblInd w:w="0" w:type="dxa"/>
        <w:tblLayout w:type="fixed"/>
        <w:tblCellMar>
          <w:top w:w="28" w:type="dxa"/>
          <w:left w:w="28" w:type="dxa"/>
          <w:bottom w:w="28" w:type="dxa"/>
          <w:right w:w="28" w:type="dxa"/>
        </w:tblCellMar>
      </w:tblPr>
      <w:tblGrid>
        <w:gridCol w:w="978"/>
        <w:gridCol w:w="860"/>
        <w:gridCol w:w="861"/>
        <w:gridCol w:w="211"/>
        <w:gridCol w:w="616"/>
        <w:gridCol w:w="109"/>
        <w:gridCol w:w="109"/>
        <w:gridCol w:w="109"/>
        <w:gridCol w:w="109"/>
        <w:gridCol w:w="280"/>
        <w:gridCol w:w="819"/>
        <w:gridCol w:w="206"/>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patent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There was no amortization expense incurred during the three and six months ended June 30, 2025. For the three and six months ended June 30, 2024, amortization expense was $39 and $78, respectively. In June 2024, in connection with a termination of an agreement, the Company recorded a gain on termination of the contract in the amount of $1,500, which was partially offset by an adjustment to the remaining balance of $1,200 of the intangible asset. The net gain of $300 was recorded within Other income, net on the Statements of Operations and Comprehensive Loss for the three and six month periods ended June 30, 2024. See Note 6, </w:t>
      </w:r>
      <w:r>
        <w:rPr>
          <w:rFonts w:ascii="Times New Roman;serif" w:hAnsi="Times New Roman;serif"/>
          <w:b w:val="false"/>
          <w:i/>
          <w:color w:val="000000"/>
          <w:sz w:val="20"/>
        </w:rPr>
        <w:t>Material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12.    Other Non-current Assets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other non-current assets:</w:t>
      </w:r>
    </w:p>
    <w:tbl>
      <w:tblPr>
        <w:tblW w:w="5088" w:type="dxa"/>
        <w:jc w:val="left"/>
        <w:tblInd w:w="0" w:type="dxa"/>
        <w:tblLayout w:type="fixed"/>
        <w:tblCellMar>
          <w:top w:w="28" w:type="dxa"/>
          <w:left w:w="28" w:type="dxa"/>
          <w:bottom w:w="28" w:type="dxa"/>
          <w:right w:w="28" w:type="dxa"/>
        </w:tblCellMar>
      </w:tblPr>
      <w:tblGrid>
        <w:gridCol w:w="913"/>
        <w:gridCol w:w="802"/>
        <w:gridCol w:w="805"/>
        <w:gridCol w:w="211"/>
        <w:gridCol w:w="616"/>
        <w:gridCol w:w="109"/>
        <w:gridCol w:w="109"/>
        <w:gridCol w:w="109"/>
        <w:gridCol w:w="109"/>
        <w:gridCol w:w="280"/>
        <w:gridCol w:w="819"/>
        <w:gridCol w:w="20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Times New Roman;serif" w:hAnsi="Times New Roman;serif"/>
          <w:b w:val="false"/>
          <w:i/>
          <w:color w:val="000000"/>
          <w:sz w:val="20"/>
        </w:rPr>
        <w:t>Transfer and Servicing</w:t>
      </w:r>
      <w:r>
        <w:rPr>
          <w:color w:val="000000"/>
        </w:rPr>
        <w:t xml:space="preserve"> </w:t>
      </w:r>
      <w:r>
        <w:rPr>
          <w:rFonts w:ascii="Times New Roman;serif" w:hAnsi="Times New Roman;serif"/>
          <w:b w:val="false"/>
          <w:color w:val="000000"/>
          <w:sz w:val="20"/>
        </w:rPr>
        <w:t xml:space="preserve">to determine whether the existing receivable was transferred to Marathon and concluded it was not transferred. As of June 30, 2025 and December 31, 2024, Royalty receivable consists of three and four, respectively, annual minimum payments due from Sunovion, the last of which is due in March 2028. The current portion of the royalty receivable is included in Trade and other receivables, net.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for further details on how this receivable relates to the Monetization Agreement transaction.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Non-current portion of costs to obtain contracts capitalized under ASC 340, </w:t>
      </w:r>
      <w:r>
        <w:rPr>
          <w:rFonts w:ascii="Times New Roman;serif" w:hAnsi="Times New Roman;serif"/>
          <w:b w:val="false"/>
          <w:i/>
          <w:color w:val="000000"/>
          <w:sz w:val="20"/>
        </w:rPr>
        <w:t xml:space="preserve">Other Assets and Deferred Costs, </w:t>
      </w:r>
      <w:r>
        <w:rPr>
          <w:rFonts w:ascii="Times New Roman;serif" w:hAnsi="Times New Roman;serif"/>
          <w:b w:val="false"/>
          <w:color w:val="000000"/>
          <w:sz w:val="20"/>
        </w:rPr>
        <w:t>is recorded within Other non-current assets on the Condensed Balance Sheets as of June 30, 2025 and December 31, 2024. As of June 30, 2024, commissions of $191 that had been capitalized under ASC 340 as part of licensing and supply agreements and had been recorded within Other non-current assets on the Condensed Balance Sheet were expensed in Selling, general, and administrative expenses on the Condensed Statements of Operations and Comprehensive Loss for the three and six months ended June 30, 2024 due to the termination of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Accrued Expenses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7353" w:type="dxa"/>
        <w:jc w:val="left"/>
        <w:tblInd w:w="0" w:type="dxa"/>
        <w:tblLayout w:type="fixed"/>
        <w:tblCellMar>
          <w:top w:w="28" w:type="dxa"/>
          <w:left w:w="28" w:type="dxa"/>
          <w:bottom w:w="28" w:type="dxa"/>
          <w:right w:w="28" w:type="dxa"/>
        </w:tblCellMar>
      </w:tblPr>
      <w:tblGrid>
        <w:gridCol w:w="1733"/>
        <w:gridCol w:w="1521"/>
        <w:gridCol w:w="1531"/>
        <w:gridCol w:w="211"/>
        <w:gridCol w:w="616"/>
        <w:gridCol w:w="109"/>
        <w:gridCol w:w="109"/>
        <w:gridCol w:w="109"/>
        <w:gridCol w:w="109"/>
        <w:gridCol w:w="280"/>
        <w:gridCol w:w="819"/>
        <w:gridCol w:w="206"/>
      </w:tblGrid>
      <w:tr>
        <w:trPr/>
        <w:tc>
          <w:tcPr>
            <w:tcW w:w="173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personal property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 expenses and sales returns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The reduction in Accrued compensation is mostly related to payments of accrued bonuses during the six months ended June 30, 2025, partially offset by the current year accrual of bonuses. The increase in Accrued distribution expenses and sales return provision reflects a reclassification from Trade receivables and other receivables, net. Refer to Note 5, </w:t>
      </w:r>
      <w:r>
        <w:rPr>
          <w:rFonts w:ascii="Times New Roman;serif" w:hAnsi="Times New Roman;serif"/>
          <w:b w:val="false"/>
          <w:i/>
          <w:color w:val="000000"/>
          <w:sz w:val="20"/>
        </w:rPr>
        <w:t>Revenues and Trade Receivables,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distribution expenses and sales returns provision mostly represent estimated liabilities for returns, wholesaler service fees, co-pay support redemptions and other rebates related to the proprietary product Libervant and returns and other expenses related to the proprietary product Sympazan (prior to outlicensing to Assertio in October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14.    Long-Term Debt</w:t>
      </w:r>
    </w:p>
    <w:p>
      <w:pPr>
        <w:pStyle w:val="TextBody"/>
        <w:bidi w:val="0"/>
        <w:spacing w:lineRule="auto" w:line="288" w:before="0" w:after="120"/>
        <w:ind w:left="0" w:right="0" w:firstLine="720"/>
        <w:jc w:val="both"/>
        <w:rPr>
          <w:rFonts w:ascii="Times New Roman;serif" w:hAnsi="Times New Roman;serif"/>
          <w:b/>
          <w:i/>
          <w:color w:val="000000"/>
          <w:sz w:val="20"/>
          <w:u w:val="single"/>
        </w:rPr>
      </w:pPr>
      <w:r>
        <w:rPr>
          <w:rFonts w:ascii="Times New Roman;serif" w:hAnsi="Times New Roman;serif"/>
          <w:b/>
          <w:i/>
          <w:color w:val="000000"/>
          <w:sz w:val="20"/>
          <w:u w:val="single"/>
        </w:rPr>
        <w:t>13.5% Senior Secured Notes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1, 2023, the Company entered into an Indenture Agreement with certain institutional investors (the “Note Holders”) and issued $45,000 aggregate principal amount of its 13.5% Notes due 2028. The Company received net proceeds of approximately $4,326 from this transaction after the repayment of the 12.5% Notes and deduction of debt discount, and debt issuance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13.5% Notes are senior secured obligations of the Company and mature on November 1, 2028. The 13.5% Notes bear interest at a fixed rate of 13.5% per year, payable quarterly commencing on December 30, 2023. On each payment date commencing on June 30, 2026, the Company will pay an installment of principal of the 13.5% Notes pursuant to a fixed amortization schedule, along with the applicable Exit Fee. The Exit Fee totals $2,000.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at its option, redeem the 13.5% Notes in full or in part: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a.if such redemption occurs prior to November 1, 2025, at a redemption price equal to 100% of the principal amount plus accrued and unpaid interest, plus the applicable Exit Fee, plus an Applicable Premium which is the greater of </w:t>
      </w:r>
    </w:p>
    <w:p>
      <w:pPr>
        <w:pStyle w:val="TextBody"/>
        <w:bidi w:val="0"/>
        <w:spacing w:lineRule="auto" w:line="288" w:before="0" w:after="0"/>
        <w:ind w:left="0" w:right="0" w:hanging="465"/>
        <w:jc w:val="both"/>
        <w:rPr>
          <w:rFonts w:ascii="Times New Roman;serif" w:hAnsi="Times New Roman;serif"/>
          <w:b w:val="false"/>
          <w:color w:val="000000"/>
          <w:sz w:val="20"/>
        </w:rPr>
      </w:pPr>
      <w:r>
        <w:rPr>
          <w:rFonts w:ascii="Times New Roman;serif" w:hAnsi="Times New Roman;serif"/>
          <w:b w:val="false"/>
          <w:color w:val="000000"/>
          <w:sz w:val="20"/>
        </w:rPr>
        <w:t xml:space="preserve">i.1.0% of the principal redeemed; and </w:t>
      </w:r>
    </w:p>
    <w:p>
      <w:pPr>
        <w:pStyle w:val="TextBody"/>
        <w:bidi w:val="0"/>
        <w:spacing w:lineRule="auto" w:line="288" w:before="0" w:after="120"/>
        <w:ind w:left="0" w:right="0" w:hanging="521"/>
        <w:jc w:val="both"/>
        <w:rPr>
          <w:rFonts w:ascii="Times New Roman;serif" w:hAnsi="Times New Roman;serif"/>
          <w:b w:val="false"/>
          <w:color w:val="000000"/>
          <w:sz w:val="20"/>
        </w:rPr>
      </w:pPr>
      <w:r>
        <w:rPr>
          <w:rFonts w:ascii="Times New Roman;serif" w:hAnsi="Times New Roman;serif"/>
          <w:b w:val="false"/>
          <w:color w:val="000000"/>
          <w:sz w:val="20"/>
        </w:rPr>
        <w:t xml:space="preserve">ii.the amount, if any, by which the present value of the principal to be redeemed on November 1, 2025, plus all required interest due on such date, computed using a discount rate equal to the Treasury Rate, plus 100 basis points, exceeds the amount of principal to be redeemed;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b.if such redemption occurs after November 1, 2025, the redemption price is equal to 108.5% of the principal amount plus accrued and unpaid interest, plus the applicable Exit Fee.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undergoes a change of control, the Note Holders may require the Company to repurchase for cash all or any portion of the 13.5% Notes at a change of control repurchase price equal at 108.5% plus the Exit Fee of the remaining principal, plus accrued interest at the election of the Note Holders.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permits the Company, upon the continuing satisfaction of certain conditions, including that the Company has at least $100,000 of net revenues for the most recently completed twelve calendar month period, to enter into an ABL facility not to exceed $10,000. The ABL Facility may be collateralized only by assets of the Company constituting inventory, accounts receivable, and the proceeds thereof.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13.5% Notes, the Company and the Note Holders entered into the Royalty Right Agreements dated as of November 1, 2023, which provides Note Holders: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 tiered royalty between 1.0% and 2.0% of annual worldwide net sales of Anaphylm™ (epinephrine) Sublingual Film for a period of eight years from the first sale of Anaphylm on a global basis, and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 tiered royalty between 1.0% to 2.0% of annual worldwide net sales of Libervant® (diazepam) Buccal Film until the earlier of (1) the first sale of Anaphylm and (2) eight years from the first sale of Libervant.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Both the 13.5% Notes and Royalty Right Agreements, represent freestanding instruments which were issued in conjunction with each other. They are classified as debt within the scope of ASC 470,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and are subsequently measured on an amortized cost basis.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fair value measurement of the Royalty Right Agreements was determined based on significant unobservable inputs, including the discount rate, estimated probabilities of success, and the estimated amount of future sales of Anaphylm and Libervant. These inputs are derived using internal management estimates developed based on third-party data and reflect management’s judgements, current market conditions, and forecasts.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Royalty Right Agreements’ fair value is estimated by applying probability-weighted cash flows for future sales, which are then discounted to present value. Changes to fair value of the Royalty Rights Agreements can result from changes to one or a number of the aforementioned inputs. A significant change in unobservable inputs could result in a material increase or decrease to the effective interest rate of the Royalty Right Agreements liability.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unobservable inputs used in the fair value measurement of the Royalty Right Agreements:</w:t>
      </w:r>
    </w:p>
    <w:tbl>
      <w:tblPr>
        <w:tblW w:w="10205" w:type="dxa"/>
        <w:jc w:val="left"/>
        <w:tblInd w:w="0" w:type="dxa"/>
        <w:tblLayout w:type="fixed"/>
        <w:tblCellMar>
          <w:top w:w="28" w:type="dxa"/>
          <w:left w:w="28" w:type="dxa"/>
          <w:bottom w:w="28" w:type="dxa"/>
          <w:right w:w="28" w:type="dxa"/>
        </w:tblCellMar>
      </w:tblPr>
      <w:tblGrid>
        <w:gridCol w:w="743"/>
        <w:gridCol w:w="654"/>
        <w:gridCol w:w="657"/>
        <w:gridCol w:w="646"/>
        <w:gridCol w:w="646"/>
        <w:gridCol w:w="648"/>
        <w:gridCol w:w="109"/>
        <w:gridCol w:w="109"/>
        <w:gridCol w:w="109"/>
        <w:gridCol w:w="813"/>
        <w:gridCol w:w="813"/>
        <w:gridCol w:w="815"/>
        <w:gridCol w:w="109"/>
        <w:gridCol w:w="109"/>
        <w:gridCol w:w="109"/>
        <w:gridCol w:w="360"/>
        <w:gridCol w:w="322"/>
        <w:gridCol w:w="322"/>
        <w:gridCol w:w="322"/>
        <w:gridCol w:w="322"/>
        <w:gridCol w:w="322"/>
        <w:gridCol w:w="360"/>
        <w:gridCol w:w="322"/>
        <w:gridCol w:w="46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Methodology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(range, if applicable)</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5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Royalty Right Agreements</w:t>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weighted</w:t>
              <w:br/>
              <w:t>income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Probability of Success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05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Projected Years of Payments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96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updated the projected years of payments to 2034 and the effective interest rate by 0.56% as of December 31, 2024. The Company periodically re-assesses the projections and, to the extent the future projections are greater or less than its previous estimates or the estimated timing of such payments is materially different than its previous estimates, the Company will adjust the effective interest calculation. As of June 30, 2025, there were no material changes to the significant unobservable inputs used to recognize the Royalty Right Agreements liability.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Royalty Right Agreements were issued in connection with the 13.5% Notes, the Company allocated the proceeds to the two instruments based on their relative fair values. The Company allocated approximately $13,856 to the Royalty Right Agreements. The Company determined the allocated fair value by calculating the present value of estimated future royalties to be paid to Note Holders over the life of the arrangement.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excess of future estimated royalty payments of $56,926 over the $13,856 of allocated fair value is recognized as a discount related to the Royalty Right Agreements and is amortized as interest expense using the effective interest method.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allocated amounts of $13,856 when combined with the Exit Fee of $2,000, original issue discount of $1,125 and debt issuance costs of $3,517, resulted in a debt discount of $20,498. The debt discount is being amortized over the term of 13.5% Notes using the effective interest method.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arising from the discounts related to the 13.5% Notes for the three and six months ended June 30, 2025 was $1,254 and $2,508, respectively. Amortization expense arising from the discounts related to the Royalty Right Agreements for the three and six months ended June 30, 2025 was $1,434 and $2,871,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arising from the discounts related to the 13.5% Notes for the three and six months ended June 30, 2024 was $1,254 and $2,511, respectively. Amortization expense arising from the discounts related to the Royalty Right Agreements for the three and six months ended June 30, 2024 was $1,358 and $2,716,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Unamortized discounts totaled $10,138 for the 13.5% Notes and $33,835 for the Royalty obligations as of June 30, 2025. Unamortized discounts totaled $12,646 for the 13.5% Notes and $36,706 for the Royalty obligations as of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notes and unamortized debt discount balances are as follows:</w:t>
      </w:r>
    </w:p>
    <w:tbl>
      <w:tblPr>
        <w:tblW w:w="6197" w:type="dxa"/>
        <w:jc w:val="left"/>
        <w:tblInd w:w="0" w:type="dxa"/>
        <w:tblLayout w:type="fixed"/>
        <w:tblCellMar>
          <w:top w:w="28" w:type="dxa"/>
          <w:left w:w="28" w:type="dxa"/>
          <w:bottom w:w="28" w:type="dxa"/>
          <w:right w:w="28" w:type="dxa"/>
        </w:tblCellMar>
      </w:tblPr>
      <w:tblGrid>
        <w:gridCol w:w="1277"/>
        <w:gridCol w:w="1121"/>
        <w:gridCol w:w="1126"/>
        <w:gridCol w:w="211"/>
        <w:gridCol w:w="721"/>
        <w:gridCol w:w="109"/>
        <w:gridCol w:w="109"/>
        <w:gridCol w:w="109"/>
        <w:gridCol w:w="109"/>
        <w:gridCol w:w="253"/>
        <w:gridCol w:w="867"/>
        <w:gridCol w:w="185"/>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Outstanding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discount, including Exit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long-term</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92" w:type="dxa"/>
        <w:jc w:val="left"/>
        <w:tblInd w:w="0" w:type="dxa"/>
        <w:tblLayout w:type="fixed"/>
        <w:tblCellMar>
          <w:top w:w="28" w:type="dxa"/>
          <w:left w:w="28" w:type="dxa"/>
          <w:bottom w:w="28" w:type="dxa"/>
          <w:right w:w="28" w:type="dxa"/>
        </w:tblCellMar>
      </w:tblPr>
      <w:tblGrid>
        <w:gridCol w:w="1131"/>
        <w:gridCol w:w="991"/>
        <w:gridCol w:w="997"/>
        <w:gridCol w:w="211"/>
        <w:gridCol w:w="721"/>
        <w:gridCol w:w="109"/>
        <w:gridCol w:w="109"/>
        <w:gridCol w:w="109"/>
        <w:gridCol w:w="109"/>
        <w:gridCol w:w="253"/>
        <w:gridCol w:w="867"/>
        <w:gridCol w:w="18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Royalty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royalty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obligations, long term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on the 13.5% Notes as of June 30, 2025 are as follows:</w:t>
      </w:r>
    </w:p>
    <w:tbl>
      <w:tblPr>
        <w:tblW w:w="1642" w:type="dxa"/>
        <w:jc w:val="left"/>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15.    Warrants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Warrants Issued to 12.5% Senior Secured Noteholders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that were issued in conjunction with the Initial Notes (the “Initial Warrants”) and Additional Notes (the “Additional Warrants”)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The 12.5% Notes were refinanced with the 13.5% Notes on November 1, 2023.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Condensed Balance Sheets. There were no warrants exercised as it relates to the Initial Warrants and the Additional Warrants during the six months ended June 30, 2025 and 2024, respectively.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a total of 1,683,784 shares of Common Stock with exercise prices of $4.25 and $5.38 for 1,571,429 warrants and 112,355 warrants, respectively, remained outstanding as of December 31, 2024.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Warrants and Additional Warrants expired on June 30,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Warrants Issued Under Securities Purchase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an exercise price of $0.96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Condensed Balance Sheets. On June 14, 2023, 3,689,452 Common Stock warrants issued pursuant to the Securities Purchase Agreements were exercised with proceeds of approximately $3,542.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became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Management estimated the fair value of the warrants to be $4,671 based on an assessment by an independent third-party appraiser. The fair value of the New Warrants is treated as equity and is presented in Additional Paid-in Capital in the Company’s Condensed Balance Sheets.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warrants issued or exercised as it relates to the Warrants Issued Under Securities Purchase Agreements during the six months ended June 30, 2025 and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in addition to the warrants to purchase 2,750,000 shares of Common Stock with an exercise price of $2.60 per share described above, there remain outstanding warrants to purchase 160,548 shares of Common Stock at an exercise price of $0.96.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16.    Sale of Future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June 30, 2025 under the Monetization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Times New Roman;serif" w:hAnsi="Times New Roman;serif"/>
          <w:b w:val="false"/>
          <w:i/>
          <w:color w:val="000000"/>
          <w:sz w:val="20"/>
        </w:rPr>
        <w:t xml:space="preserve">Transfer and Servicing </w:t>
      </w:r>
      <w:r>
        <w:rPr>
          <w:rFonts w:ascii="Times New Roman;serif" w:hAnsi="Times New Roman;serif"/>
          <w:b w:val="false"/>
          <w:color w:val="000000"/>
          <w:sz w:val="20"/>
        </w:rPr>
        <w:t xml:space="preserve">to determine whether the existing receivable was transferred to Marathon and concluded that the receivable was not transferred.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contained significant assumptions that impact both the amount recorded at execution and the interest expense that will be recognized over the life of the Monetization Agreement. The Company assesses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2023, Sunovion announced that it had voluntarily withdrawn KYNMOBI from the U.S. and Canadian markets. Therefore, the Company likely will not receive any of the additional contingent payments under the Monetization agreement. Further, the Company discontinued recording interest expense related to the sale of future revenue during the fourth quarter of 2022.</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activity of the liability related to the sale of future revenue:</w:t>
      </w:r>
    </w:p>
    <w:tbl>
      <w:tblPr>
        <w:tblW w:w="10205" w:type="dxa"/>
        <w:jc w:val="left"/>
        <w:tblInd w:w="0" w:type="dxa"/>
        <w:tblLayout w:type="fixed"/>
        <w:tblCellMar>
          <w:top w:w="28" w:type="dxa"/>
          <w:left w:w="28" w:type="dxa"/>
          <w:bottom w:w="28" w:type="dxa"/>
          <w:right w:w="28" w:type="dxa"/>
        </w:tblCellMar>
      </w:tblPr>
      <w:tblGrid>
        <w:gridCol w:w="2803"/>
        <w:gridCol w:w="2396"/>
        <w:gridCol w:w="2403"/>
        <w:gridCol w:w="211"/>
        <w:gridCol w:w="721"/>
        <w:gridCol w:w="109"/>
        <w:gridCol w:w="109"/>
        <w:gridCol w:w="109"/>
        <w:gridCol w:w="109"/>
        <w:gridCol w:w="239"/>
        <w:gridCol w:w="819"/>
        <w:gridCol w:w="177"/>
      </w:tblGrid>
      <w:tr>
        <w:trPr/>
        <w:tc>
          <w:tcPr>
            <w:tcW w:w="2803"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related to the sale of future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7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the sale of future revenue, net at end of the period (includes current portion of $1,000 and $1,000, respectively)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Net Loss Per Share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EPS is adjusted by the effect of dilutive securities, including options and awards under the Company’s equity compensation plans, warrants and ESPP. As a result of the Company’s net loss incurred for the three and six months ended June 30, 2025 and 2024, all potentially dilutive instruments outstanding would have anti-dilutive effects on per-share calculations. Therefore, basic and diluted net loss per share are the same for the three and six months ended June 30, 2025 and 2024 as reflected below.</w:t>
      </w:r>
    </w:p>
    <w:tbl>
      <w:tblPr>
        <w:tblW w:w="10205" w:type="dxa"/>
        <w:jc w:val="left"/>
        <w:tblInd w:w="0" w:type="dxa"/>
        <w:tblLayout w:type="fixed"/>
        <w:tblCellMar>
          <w:top w:w="28" w:type="dxa"/>
          <w:left w:w="28" w:type="dxa"/>
          <w:bottom w:w="28" w:type="dxa"/>
          <w:right w:w="28" w:type="dxa"/>
        </w:tblCellMar>
      </w:tblPr>
      <w:tblGrid>
        <w:gridCol w:w="1598"/>
        <w:gridCol w:w="1403"/>
        <w:gridCol w:w="1417"/>
        <w:gridCol w:w="240"/>
        <w:gridCol w:w="841"/>
        <w:gridCol w:w="109"/>
        <w:gridCol w:w="109"/>
        <w:gridCol w:w="109"/>
        <w:gridCol w:w="109"/>
        <w:gridCol w:w="270"/>
        <w:gridCol w:w="811"/>
        <w:gridCol w:w="109"/>
        <w:gridCol w:w="109"/>
        <w:gridCol w:w="109"/>
        <w:gridCol w:w="109"/>
        <w:gridCol w:w="240"/>
        <w:gridCol w:w="841"/>
        <w:gridCol w:w="109"/>
        <w:gridCol w:w="109"/>
        <w:gridCol w:w="109"/>
        <w:gridCol w:w="109"/>
        <w:gridCol w:w="240"/>
        <w:gridCol w:w="841"/>
        <w:gridCol w:w="155"/>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 basic and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99,326,701 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90,911,626 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97,422,458 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82,263,168 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per common share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(a)For the three and six months ended June 30, 2025 and 2024, outstanding stock options of 7,186,867 and 6,438,239 to purchase shares of Common Stock, respectively, were anti-dilutive.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(b)For the three and six months ended June 30, 2025 and 2024, outstanding restricted stock units of 5,156,701 and 3,935,201 to purchase shares of Common Stock, respectively, were anti-dilutive.</w:t>
      </w:r>
    </w:p>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(c)For the three and six months ended June 30, 2025 and 2024, outstanding warrants of 2,910,548 and 4,624,977 to purchase shares of Common Stock, respectively,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18.    Share-Based Compensation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share-based compensation in its Condensed Statements of Operations and Comprehensive Loss during the three and six month periods ended June 30, 2025 and 2024 as follows:</w:t>
      </w:r>
    </w:p>
    <w:tbl>
      <w:tblPr>
        <w:tblW w:w="8279" w:type="dxa"/>
        <w:jc w:val="left"/>
        <w:tblInd w:w="0" w:type="dxa"/>
        <w:tblLayout w:type="fixed"/>
        <w:tblCellMar>
          <w:top w:w="28" w:type="dxa"/>
          <w:left w:w="28" w:type="dxa"/>
          <w:bottom w:w="28" w:type="dxa"/>
          <w:right w:w="28" w:type="dxa"/>
        </w:tblCellMar>
      </w:tblPr>
      <w:tblGrid>
        <w:gridCol w:w="1272"/>
        <w:gridCol w:w="1117"/>
        <w:gridCol w:w="112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(ESPP)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Share-Based Compensation Equity Awards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the Company’s restricted stock unit and stock option activity during the six month period ended June 30,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awards of service-based and market conditions vesting-based restricted stock units for the six month period ended June 30, 2025:</w:t>
      </w:r>
    </w:p>
    <w:tbl>
      <w:tblPr>
        <w:tblW w:w="7616" w:type="dxa"/>
        <w:jc w:val="left"/>
        <w:tblInd w:w="0" w:type="dxa"/>
        <w:tblLayout w:type="fixed"/>
        <w:tblCellMar>
          <w:top w:w="28" w:type="dxa"/>
          <w:left w:w="28" w:type="dxa"/>
          <w:bottom w:w="28" w:type="dxa"/>
          <w:right w:w="28" w:type="dxa"/>
        </w:tblCellMar>
      </w:tblPr>
      <w:tblGrid>
        <w:gridCol w:w="1635"/>
        <w:gridCol w:w="1437"/>
        <w:gridCol w:w="1442"/>
        <w:gridCol w:w="419"/>
        <w:gridCol w:w="419"/>
        <w:gridCol w:w="422"/>
        <w:gridCol w:w="109"/>
        <w:gridCol w:w="109"/>
        <w:gridCol w:w="109"/>
        <w:gridCol w:w="364"/>
        <w:gridCol w:w="883"/>
        <w:gridCol w:w="268"/>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Restricted Stock Unit Awards (RSUs) - Service-based: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w:t>
              <w:br/>
              <w:t>Value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$7,459 of total unrecognized compensation expenses related to unvested service-based restricted stock units are expected to be recognized over a remaining weighted average period of 1.90 years. The service-based restricted stock units granted to employees are subject to a three-year graduated vesting schedule and are not subject to performance-based criteria other than continued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tbl>
      <w:tblPr>
        <w:tblW w:w="9176" w:type="dxa"/>
        <w:jc w:val="left"/>
        <w:tblInd w:w="0" w:type="dxa"/>
        <w:tblLayout w:type="fixed"/>
        <w:tblCellMar>
          <w:top w:w="28" w:type="dxa"/>
          <w:left w:w="28" w:type="dxa"/>
          <w:bottom w:w="28" w:type="dxa"/>
          <w:right w:w="28" w:type="dxa"/>
        </w:tblCellMar>
      </w:tblPr>
      <w:tblGrid>
        <w:gridCol w:w="2199"/>
        <w:gridCol w:w="1935"/>
        <w:gridCol w:w="1940"/>
        <w:gridCol w:w="419"/>
        <w:gridCol w:w="419"/>
        <w:gridCol w:w="422"/>
        <w:gridCol w:w="109"/>
        <w:gridCol w:w="109"/>
        <w:gridCol w:w="109"/>
        <w:gridCol w:w="364"/>
        <w:gridCol w:w="883"/>
        <w:gridCol w:w="268"/>
      </w:tblGrid>
      <w:tr>
        <w:trPr/>
        <w:tc>
          <w:tcPr>
            <w:tcW w:w="219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Restricted Stock Unit Awards (RSUs) - Market conditions vesting-based:</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 Fair</w:t>
              <w:br/>
              <w:t>Value</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$2,458 of unrecognized compensation expense related to unvested market condition vesting- based restricted stock units are expected to be recognized over a remaining weighted average period of 1.62 years.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2023 market conditions vesting-based restricted stock units vest based on a Performance Price measured as the 30-day average of the closing prices of the Company’s common stock as reported on the Nasdaq Stock Market immediately prior to and including the last calendar day of the three-year performance period (which ends on the third anniversary of the grant date). To the extent the Performance Price is less than $1.75, the Vesting Percentage will be zero. To the extent the Performance Price is $1.75, the Vesting Percentage will be 50%. To the extent the Performance Price is $1.76 or greater, but less than $2.50, the Vesting Percentage will be a prorated amount between 50.01% and 99.99%, based on straight-line interpolation. To the extent the Performance Price is $2.50, the Vesting Percentage will be 100%. To the extent the Performance Price is $2.51 or greater, but less than $3.25, the Vesting Percentage will be a prorated amount between 100.01% and 149.99%, based on straight-line interpolation. To the extent the Performance Price is $3.25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2025 market conditions vesting-based restricted stock units were measured over a three-year performance period. The performance period is split into two pricing periods. The first pricing period commences on the grant date and ends on the calendar day immediately proceeding the second anniversary of the grant date. The second pricing period commences on the second anniversary of the grant date and ends on the third anniversary of the grant date, The performance price for the first pricing period is calculated based on the 30-day average price observed for the last 30 days of the first pricing period. The performance price for the second pricing period is calculated based on the highest 30-day average for any 30-day period throughout the second pricing period. To the extent the Performance Price is less than $6.00, the Vesting Percentage will be zero. To the extent the Performance Price is $6.00, the Vesting Percentage will be 50%. To the extent the Performance Price is $6.01 or greater, but less than $7.00, the Vesting Percentage will be a prorated amount between 50.01% and 99.99%, based on straight-line interpolation. To the extent the Performance Price is $7.00, the Vesting Percentage will be 100%. To the extent the Performance Price is $7.01 or greater, but less than $8.00, the Vesting Percentage will be a prorated amount between 100.01% and 149.99%, based on straight-line interpolation. To the extent the Performance Price is $8.00 or greater, the Vesting Percentage will be 150%. In no event will the Vesting Percentage exceed 150%.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estimates of the fair value of the 2025 market conditions vesting-based awards at their grant or valuation dates were based on a Monte Carlo simulation and considered various variables and the following assumptions:</w:t>
      </w:r>
    </w:p>
    <w:tbl>
      <w:tblPr>
        <w:tblW w:w="5069" w:type="dxa"/>
        <w:jc w:val="left"/>
        <w:tblInd w:w="0" w:type="dxa"/>
        <w:tblLayout w:type="fixed"/>
        <w:tblCellMar>
          <w:top w:w="28" w:type="dxa"/>
          <w:left w:w="28" w:type="dxa"/>
          <w:bottom w:w="28" w:type="dxa"/>
          <w:right w:w="28" w:type="dxa"/>
        </w:tblCellMar>
      </w:tblPr>
      <w:tblGrid>
        <w:gridCol w:w="772"/>
        <w:gridCol w:w="678"/>
        <w:gridCol w:w="680"/>
        <w:gridCol w:w="858"/>
        <w:gridCol w:w="858"/>
        <w:gridCol w:w="1223"/>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 at grant date</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r>
    </w:tbl>
    <w:p>
      <w:pPr>
        <w:pStyle w:val="TextBody"/>
        <w:bidi w:val="0"/>
        <w:spacing w:lineRule="auto" w:line="288" w:before="0" w:after="120"/>
        <w:jc w:val="both"/>
        <w:rPr>
          <w:rFonts w:ascii="Times New Roman;serif" w:hAnsi="Times New Roman;serif"/>
          <w:b/>
          <w:i/>
          <w:color w:val="000000"/>
          <w:sz w:val="20"/>
          <w:u w:val="single"/>
        </w:rPr>
      </w:pPr>
      <w:r>
        <w:rPr>
          <w:rFonts w:ascii="Times New Roman;serif" w:hAnsi="Times New Roman;serif"/>
          <w:b/>
          <w:i/>
          <w:color w:val="000000"/>
          <w:sz w:val="20"/>
          <w:u w:val="single"/>
        </w:rPr>
        <w:t>2022 Inducement Equity Incentive Plan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5635(c)(4), the Company adopted the 2022 Equity Inducement Plan approved by the Compensation Committee of the Board of Directors of the Company effective as of July 29,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tbl>
      <w:tblPr>
        <w:tblW w:w="6475" w:type="dxa"/>
        <w:jc w:val="left"/>
        <w:tblInd w:w="0" w:type="dxa"/>
        <w:tblLayout w:type="fixed"/>
        <w:tblCellMar>
          <w:top w:w="28" w:type="dxa"/>
          <w:left w:w="28" w:type="dxa"/>
          <w:bottom w:w="28" w:type="dxa"/>
          <w:right w:w="28" w:type="dxa"/>
        </w:tblCellMar>
      </w:tblPr>
      <w:tblGrid>
        <w:gridCol w:w="1146"/>
        <w:gridCol w:w="1007"/>
        <w:gridCol w:w="1011"/>
        <w:gridCol w:w="419"/>
        <w:gridCol w:w="419"/>
        <w:gridCol w:w="422"/>
        <w:gridCol w:w="109"/>
        <w:gridCol w:w="109"/>
        <w:gridCol w:w="109"/>
        <w:gridCol w:w="414"/>
        <w:gridCol w:w="1005"/>
        <w:gridCol w:w="30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 Option Awards: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Exercise Price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to vest as of June 30, 2025</w:t>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stock options granted were estimated using the Black-Scholes pricing model based on the following assumptions:</w:t>
      </w:r>
    </w:p>
    <w:tbl>
      <w:tblPr>
        <w:tblW w:w="4064" w:type="dxa"/>
        <w:jc w:val="left"/>
        <w:tblInd w:w="0" w:type="dxa"/>
        <w:tblLayout w:type="fixed"/>
        <w:tblCellMar>
          <w:top w:w="28" w:type="dxa"/>
          <w:left w:w="28" w:type="dxa"/>
          <w:bottom w:w="28" w:type="dxa"/>
          <w:right w:w="28" w:type="dxa"/>
        </w:tblCellMar>
      </w:tblPr>
      <w:tblGrid>
        <w:gridCol w:w="772"/>
        <w:gridCol w:w="678"/>
        <w:gridCol w:w="680"/>
        <w:gridCol w:w="181"/>
        <w:gridCol w:w="181"/>
        <w:gridCol w:w="181"/>
        <w:gridCol w:w="181"/>
        <w:gridCol w:w="181"/>
        <w:gridCol w:w="181"/>
        <w:gridCol w:w="195"/>
        <w:gridCol w:w="195"/>
        <w:gridCol w:w="195"/>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stock options granted during the six months ended June 30, 2025 was $2.27. During the six months ended June 30, 2025, stock options were granted with a weighted average exercise price of $2.84.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$4,066 of unrecognized compensation expense related to non-vested stock options is expected to be recognized over a remaining weighted average period of 1.80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19.    Income Taxes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R&amp;D credits. Valuation allowances are provided if it is more likely than not that some portion or all of the deferred tax asset will not be realized.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for interim periods is determined using an estimate of its annual effective tax rate, adjusted for discrete items. For the three and six months ended June 30, 2025, the effective income tax rate was 0%, and the Company recorded no income tax expense from its pretax losses of $13,548 and $36,478, respectively. For the three and six months ended June 30, 2024, the effective income tax rate was 0%, and the Company recorded no income tax expense from its pretax losses of $2,745 and $15,573,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factors impacting the effective tax rate for the three and six months ended June 30, 2025 is the anticipated full year pre-tax book loss and a full valuation allowance against any associated net deferred tax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President signed H.R. 1, the Budget Reconciliation Bill,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changes were not reflected in the income tax provision for the three and six months ended June 30, 2025, as enactment occurred after the balance sheet date. The Company is currently evaluating the impact on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20.    Contingencies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California Litigation</w:t>
      </w:r>
    </w:p>
    <w:p>
      <w:pPr>
        <w:pStyle w:val="TextBody"/>
        <w:bidi w:val="0"/>
        <w:spacing w:lineRule="auto" w:line="288" w:before="0" w:after="120"/>
        <w:jc w:val="both"/>
        <w:rPr/>
      </w:pPr>
      <w:r>
        <w:rPr>
          <w:rFonts w:ascii="Times New Roman;serif" w:hAnsi="Times New Roman;serif"/>
          <w:b w:val="false"/>
          <w:color w:val="000000"/>
          <w:sz w:val="20"/>
          <w:u w:val="single"/>
        </w:rPr>
        <w:t>Neurelis, Inc. v. Aquestive Therapeutics, Inc</w:t>
      </w:r>
      <w:r>
        <w:rPr>
          <w:rFonts w:ascii="Times New Roman;serif" w:hAnsi="Times New Roman;serif"/>
          <w:b w:val="false"/>
          <w:color w:val="000000"/>
          <w:sz w:val="20"/>
        </w:rPr>
        <w: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5, 2019, Neurelis, Inc. ("Neurelis") filed a lawsuit against the Company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proceeded with discovery on the claims in the Second Amended Complaint. The plaintiff filed a motion to file a third amended complaint, which the Court granted on November 17, 2023. The Third Amended Complaint alleges additional facts but includes the same claims as the Second Amended Complaint. The trial in this matter is scheduled for January 5, 2026. The Company is not able to determine or predict the ultimate outcome of this proceeding or provide a reasonable estimate or range of estimates of the possible outcome or loss, if any, in this matter.</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Neurelis FDA Lawsuit</w:t>
      </w:r>
    </w:p>
    <w:p>
      <w:pPr>
        <w:pStyle w:val="TextBody"/>
        <w:bidi w:val="0"/>
        <w:spacing w:lineRule="auto" w:line="288" w:before="0" w:after="120"/>
        <w:jc w:val="both"/>
        <w:rPr/>
      </w:pPr>
      <w:r>
        <w:rPr>
          <w:rFonts w:ascii="Times New Roman;serif" w:hAnsi="Times New Roman;serif"/>
          <w:b w:val="false"/>
          <w:color w:val="000000"/>
          <w:sz w:val="20"/>
          <w:u w:val="single"/>
        </w:rPr>
        <w:t xml:space="preserve">Neurelis v. Califf, </w:t>
      </w:r>
      <w:r>
        <w:rPr>
          <w:rFonts w:ascii="Times New Roman;serif" w:hAnsi="Times New Roman;serif"/>
          <w:b w:val="false"/>
          <w:i/>
          <w:color w:val="000000"/>
          <w:sz w:val="20"/>
          <w:u w:val="single"/>
        </w:rPr>
        <w:t>et al</w:t>
      </w:r>
      <w:r>
        <w:rPr>
          <w:rFonts w:ascii="Times New Roman;serif" w:hAnsi="Times New Roman;serif"/>
          <w:b w:val="false"/>
          <w:color w:val="000000"/>
          <w:sz w:val="20"/>
          <w:u w:val="single"/>
        </w:rPr>
        <w:t>.</w:t>
      </w:r>
      <w:r>
        <w:rPr>
          <w:rFonts w:ascii="Times New Roman;serif" w:hAnsi="Times New Roman;serif"/>
          <w:b w:val="false"/>
          <w:color w:val="000000"/>
          <w:sz w:val="20"/>
        </w:rPr>
        <w:t>, U.S. District court for the District of Columbia</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Neurelis filed a complaint in the U.S. District Court for the District of Columbia against the U.S. Food and Drug Administration, the U.S. Department of Health and Human Services, and certain government officials. The complaint in this matter alleges that the defendants violated the Administrative Procedure Act by approving the Company's NDA for Libervant for ARS patients aged between two and five years, and asked the Court to vacate that approval and enjoin the defendants from approving Libervant for this pediatric patient population until January 10, 2027, the scheduled date for the expiration of the U.S. orphan drug market exclusivity granted by the FDA to the Valtoco nasal spray product of Neurelis. The Company intervened in this litigation to defend the approval of Libervant for this ARS pediatric patient population and, on June 25, 2024, the Court entered a scheduling order governing further proceedings in the case. Pursuant to that order, Neurelis filed a motion for summary judgment on August 19, 2024; the Company and the federal defendants each filed their own cross-motions for summary judgment and opposed Neurelis’s motion for summary judgment on September 18, 2024. Neurelis filed its combined reply brief in support of its motion for summary judgment and in opposition to the defendants’ cross-motions on October 9, 2024, and the Company and the federal defendants filed their closing briefs on October 30, 2024. Following the FDA's award of ODE to Libervant for ARS patients between two and five years of age, Neurelis filed a motion for preliminary injunction requesting an expedited order to vacate FDA's approval and enjoining the sale of Libervant. On February 14, 2025, the Court ruled in favor of Neurelis, granting its summary judgment motion, and against the FDA's and the Company's cross-motions for summary judgment. In an accompanying opinion, the Court directed the FDA to vacate the approval of Libervant. Because the Court entered a final appealable judgment in favor of Neurelis, Neurelis' motion for an expedited preliminary injunction was denied as moot by the Court. On February 18, 2025, the Company filed an appeal of the District Court's decision with the U.S. Circuit Court of Appeals for the District of Columbia (the "DC Appellate Court") and, on the same day, filed an emergency motion with the District Court to stay its order pending a decision on the appeal with the DC Appellate Court. The District Court denied the motion for a stay. On March 27, 2025, the DC Appellate Court denied the Company's emergency motion for stay. The FDA filed an appeal of the District Court's decision to the DC Appellate Court and the Company withdrew its appeal. As a result of the District Court's ruling, the FDA converted the approval of Libervant to a "tentative approval" and the Company has ceased marketing activities in the United States. The Company is communicating with the FDA on a path forward for approval of Libervant for ARS patients aged between two and five years but the Company has not yet received any decision from the FDA on market access for these Libervant pediatric patients. No dates have been set for arguments on the appeal proceedings at the DC Appellate Court. The Company is not able to determine or predict the ultimate outcome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proceedings or provide a reasonable estimate or range of estimates of the possible outcome or loss, if any, in this matter or whether the FDA will grant U.S. market access to Libervant for ARS patients aged between two and five years in advance of the ODE expiration period.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Suboxone Product Liability Litigation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named as a defendant in a multitude of product liability lawsuits, along with Indivior and several other named defendants, in which the individual plaintiffs in those cases allege that their use of Suboxone® Sublingual Film, a prescription drug product for opioid use disorder, caused them dental injuries. On February 2, 2024, this litigation became a Multidistrict Litigation (“MDL") consolidated in the U.S District Court for the Northern District of Ohio. One case alleging the same allegations as contained in the MDL has been filed in a state court in the State of New Jersey. The parties to the MDL have agreed to a tolling of unfiled claimants in several states. Indivior has agreed to defend the Company in these litigation matters. Discovery is underway and no trial date has been set in the MDL matter. The Company's motion to dismiss the MDL matter was granted as to all claims by plaintiffs except design defect claims. The Company is not able to determine or predict the ultimate outcome of this litigation or provide a reasonable estimate or range of estimates of the possible outcome or loss, if any, in this matter.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was named as a defendant in three proposed class action lawsuits filed in Canada, along with Indivior and several other named defendants, in which the individual plaintiffs in those cases allege that their use of Suboxone® products caused them dental injuries. Two of these cases have been filed in British Columbia, and the plaintiffs in those cases are seeking assignment of a case management judge. The anticipated next step in British Columbia will involve applications by the plaintiffs to determine which of the two cases will proceed towards a certification hearing and which will be stayed. The third case has been filed in Quebec and is proceeding towards an authorization hearing, the date of which has not yet been set. The authorization and certification hearings will determine whether the Courts will allow the cases to proceed as class actions. Pre-discovery and case management proceedings are underway and no trial date has yet been set. Given the early stages of these proceedings, the Company is not able to determine or predict the ultimate outcome of this litigation or provide a reasonable estimate or range of estimates of the possible outcome or loss, if any, in this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You should read this section in conjunction with our condensed interim financial statements and related notes included in Part I Item 1 of this Quarterly Report on Form 10-Q and our audited financial statements and related notes thereto and management</w:t>
      </w:r>
      <w:r>
        <w:rPr>
          <w:color w:val="000000"/>
        </w:rPr>
        <w:t>’</w:t>
      </w:r>
      <w:r>
        <w:rPr>
          <w:rFonts w:ascii="Times New Roman;serif" w:hAnsi="Times New Roman;serif"/>
          <w:b w:val="false"/>
          <w:i/>
          <w:color w:val="000000"/>
          <w:sz w:val="20"/>
        </w:rPr>
        <w:t xml:space="preserve">s discussion and analysis of financial condition and results of operations for the years ended December 31, 2024 and 2023 included in our 2024 Annual Report on Form 10-K. All dollar amounts are stated in thousands except for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Form 10-Q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our product candidate Anaphylm™ (epinephrine) Sublingual Film through clinical development and approval by the U.S. Food and Drug Administration (FDA), including the filing and acceptance of the New Drug Application (NDA) for Anaphylm with the FDA, and the following commercial launch of Anaphylm, if approved by the FDA; the potential for an advisory committee for Anaphylm, if required by the FDA; timing of potential international regulatory filings for Anaphylm and market approval outside of the U.S. for our product candidates including Anaphylm and Libervant; that Anaphylm will be the first and only oral administration of epinephrine and accepted as an alternative to existing standards of care, if Anaphylm is approved by the FDA; the advancement, growth and related timing of our Adrenaverse™ pipeline of epinephrine prodrug product candidates, including AQST-108 (epinephrine) Topical Gel through clinical development and FDA regulatory approval process; the potential benefits our products and product candidates could bring to patients; the achievement of clinical and commercial milestones; our future financial and operating results and financial position, including with respect to our 2025 financial outlook and estimated cash runway; and business strategies, market opportunities,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Anaphylm, AQST-108, and our other product candidates; risk of delays in advancement of the regulatory approval process through the FDA of our product candidates, including for Anaphylm and AQST-108, or failure to receive FDA approval at all of any of these product candidates; risk of the Company’s ability to generate sufficient clinical data for approval of our product candidates, including with respect to our PK/PD comparability submission for FDA approval of Anaphylm; risks associated with our ability to address the FDA’s comments on our NDA, including the risk that the FDA may require additional clinical studies for approval of Anaphylm; risks associated with the success of any competing products, including generics; risks and uncertainties inherent in commercializing a new product (including technology risks, financial risks, market risks and implementation risks and regulatory limitations); risk of development of a sales and marketing capability for commercialization of our product candidates, including Anaphylm, Libervant and AQST-108; risks associated with the potential impact on the value of the Company of the sale or outlicensing of our product and product candidates, including Libervant and Anaphylm and other product candidates; risk of insufficient capital and cash resources, including insufficient access to available debt and equity financing, including under our ATM facility, and revenues from operations, to satisfy all of our short-term and longer-term liquidity and cash requirements and other cash needs, at the times and in the amounts needed, including to commence principal payments on our 13.5% Notes in 2026, and to fund future clinical development and commercial activities for our product candidates, should these product candidates be approved by the FDA; risk that our manufacturing capabilities will be insufficient to support demand of our product candidates, if approved by the FDA, and our licensed products in the U.S. and abroad; risk of eroding market share for Suboxone® as a sunsetting product, which accounts for a substantial part of our current operating revenue; risk of default of our debt instruments; risks related to the outsourcing of certain sales, marketing and other operational and staff functions to third parties; risk of the rate and degree of market acceptance in the U.S. and abroad of Libervant, Anaphylm, AQST-108 and our other product candidates, should these product candidates be approved by the FDA, and for our licensed products in the U.S. and abroad; risk associated with the size and growth of our product markets; risk associated with our compliance with all FDA and other governmental and customer requirements for our manufacturing facilities; risks associated with intellectual property rights and infringement claims relating to our products; risk that our patent applications for our product candidates, including for Anaphylm and AQST-108, will not be timely issued, or issued at all, by the PTO; risk of unexpected patent developments; risk of legislation and regulatory actions and changes in laws or regulations affecting our business including relating to our products and product candidates and product pricing, reimbursement or access therefor; risk of loss of significant customers; risks related to claims and legal proceedings against us including patent infringement, securities, business torts, investigative, product safety or efficacy and antitrust litigation matters; risk of product recalls and withdrawals; risks related to any disruptions in our information technology networks and systems, including the impact of cybersecurity attacks; risk of increased cybersecurity attacks and data accessibility disruptions due to remote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arrangements; risk of adverse developments affecting the financial services industry; risks related to inflation and changing interest rates; risks related to the impact of other pandemic diseases on our business; risks and uncertainties related to general economic, political (including the Ukraine and Israel wars and other acts of war and terrorism), business, industry, regulatory, financial and market conditions and other unusual items; risks related to uncertainty about the current U.S. federal administration initiatives and their impact on our business, including imposition of tariffs and other trade restrictions; and other uncertainties affecting us including those described in the "Risk Factors" section and in other sections included in this Quarterly Report on Form 10-Q.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2024 Annual Report on Form 10</w:t>
        <w:noBreakHyphen/>
        <w:t>K and our other Quarterly Reports on Form 10</w:t>
        <w:noBreakHyphen/>
        <w:t>Q and in our Current Reports on Form 8-K and our other filings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w:t>
        <w:noBreakHyphen/>
        <w:t>Q.</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Quarterly Report on Form 10-Q to “Aquestive,” the "Company,” “we,” “us,” and “our” refer to Aquestive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Aquestive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are advancing a product pipeline for the treatment of severe allergic reactions, including anaphylaxis, under the "Anaphylm™" trade name, and our Adrenaverse™ epinephrine prodrug pipeline platform. We have four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Our production facilities are located in Portage, Indiana, and our corporate headquarters and primary research laboratory facilities are based in Warren, New Jersey.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licensed products at our facilities and anticipate that our current manufacturing capacity is sufficient for commercial quantities of our licensed products, proprietary product and product candidates currently in development. Our facilities have been inspected by the FDA, TGA, and DEA, and are subject to inspection by all applicable health agencies, including ANVISA and EMA. Not all collaborative or licensed products of the Company that may be commercially launched in the future will necessarily be manufactured by us.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Complex Molecule Portfolio</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Anaphylm™</w:t>
      </w:r>
      <w:r>
        <w:rPr>
          <w:color w:val="000000"/>
        </w:rPr>
        <w:t xml:space="preserve"> </w:t>
      </w:r>
      <w:r>
        <w:rPr>
          <w:rFonts w:ascii="Times New Roman;serif" w:hAnsi="Times New Roman;serif"/>
          <w:b w:val="false"/>
          <w:color w:val="000000"/>
          <w:sz w:val="20"/>
        </w:rPr>
        <w:t>(epinephrine) Sublingual Film – the first and only non-device based, orally delivered epinephrine product candidate in development that has shown clinical results comparable to auto-injectors (such as EpiPen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Auvi-Q</w:t>
      </w:r>
      <w:r>
        <w:rPr>
          <w:rFonts w:ascii="Times New Roman;serif" w:hAnsi="Times New Roman;serif"/>
          <w:b w:val="false"/>
          <w:color w:val="000000"/>
          <w:sz w:val="13"/>
        </w:rPr>
        <w:t>®</w:t>
      </w:r>
      <w:r>
        <w:rPr>
          <w:rFonts w:ascii="Times New Roman;serif" w:hAnsi="Times New Roman;serif"/>
          <w:b w:val="false"/>
          <w:color w:val="000000"/>
          <w:sz w:val="20"/>
        </w:rPr>
        <w:t>) for the emergency treatment of allergic reactions, including anaphylaxis. Epinephrine is the standard of care in the treatment of anaphylaxis and is typically administered via intramuscular injection (IM), including manual auto-injectors such as EpiPen and Auvi-Q, which require patients or their caregivers to inject epinephrine into the patient’s thigh during an emergency allergic reaction. As a result of this route of administration, many patients and their caregivers are reluctant to use injectable products. In August 2024, a nasal spray device was approved by the FDA for the treatment of severe allergic reactions, including anaphylaxis. However, Anaphylm would, if approved by the FDA, allow a patient to simply place a dissolvable strip, approximately the size and weight of a postage stamp, under the tongue, providing an appropriate medication where it is needed and when it is needed.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FDA conditionally accepted the proprietary name Anaphylm™ (pronounced “ana-film”) as the proposed brand name for Anaphylm. Final approval of the Anaphylm proprietary name is conditioned on FDA approval of Anaphylm, if 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2022, following a Phase 1 clinical study conducted by the Company outside of the U.S., the FDA cleared our IND for Anaphylm, allowing for clinical investigation of Anaphylm in the U.S. The FDA confirmed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505(b)(2) regulatory approval pathway is acceptable for the development of Anaphylm. The FDA granted Fast Track designation of Anaphylm in March 2022.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Throughout 2022 and 2023, we reported positive topline data from several clinical studies evaluating multiple oral film formulations and dosage strengths of Anaphylm in healthy adult subjects, including cross over studies comparing the PK and PD of epinephrine delivered via Anaphylm compared to current standards of care, EpiPen and IM injectors. These studies demonstrated that treatment with Anaphylm was well tolerated, with no serious adverse events, significant medical events, or treatment-related severe adverse events reported. The data from these clinical studies formed the basis for the EOP2 meeting with the FDA in December of 2022, which provided clarity as to the FDA’s expectations regarding key clinical program areas for design of revised dosing instructions expected for use in our pivotal clinical trial.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2023, we received comments from the FDA on the protocol for our pivotal clinical study for Anaphylm, which comments indicated that our proposed endpoints, sample size, and statistical analysis for the proposed pivotal clinical study were reasonable and provided clarity on PK sustainability with repeat-dose requirements. We incorporated the FDA’s feedback into the pivotal clinical study design, which study commenced in in the fourth quarter of 2023.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2024, we completed a Type C meeting with the FDA in which the FDA found that we had adequately addressed the FDA’s previous concerns noted in the EOP2 meeting, including addressing (1) the impact of any product hold time, (2) the potential for emesis (vomiting), and (3) the impact of potential mouth conditions such as angioedema (swelling), by removing product hold time from the administration instructions and providing additional information on how to characterize emesis in our NDA submission with the FDA. Regarding mouth conditions, the FDA recommended administering Anaphylm after oral exposure to a known allergen and assessing PK performance thereunder. This study replaced our previously planned angioedema study. In those comments, the FDA did not outline any new clinical development requirements for the Anaphylm program. The FDA reserved judgement on the sufficiency of the Anaphylm clinical development program until completion of ongoing and planned studies, the results of which were presented at a pre-NDA interaction with the FDA on November 22, 2024.</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0"/>
        </w:rPr>
        <w:t>In March 2024, we released topline data from our pivotal clinical study for Anaphylm. The two-part, Phase 3, single-center, open-label, randomized study was designed to compare the PK and PD of single and repeat doses of Anaphylm versus single and repeat doses of the IM injection and epinephrine autoinjectors (EpiPen® and Auvi-Q®) in healthy adult subjects. The results of this study demonstrated that the primary endpoint, epinephrine PK biocomparability of the single administration of Anaphylm to the single administration of Adrenalin (epinephrine IM injection) and epinephrine autoinjectors in healthy adult subjects was met. The study also met its secondary endpoints, which included evaluating the PK sustainability of Anaphylm following repeat administration, as well as its safety and tolerability of Anaphylm following single and repeat administrations versus epinephrine IM injection and epinephrine autoinjectors.</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22"/>
        </w:rPr>
        <w:t>I</w:t>
      </w:r>
      <w:r>
        <w:rPr>
          <w:rFonts w:ascii="Times New Roman;serif" w:hAnsi="Times New Roman;serif"/>
          <w:b w:val="false"/>
          <w:color w:val="000000"/>
          <w:sz w:val="20"/>
        </w:rPr>
        <w:t>n June 2024, we reported positive topline PK data from the Company's temperature / pH study of Anaphylm. The single-dose, five-period, randomized crossover study was designed to compare the PK and PD of Anaphylm just after consuming normal water at different temperatures (hot, cold, and room temperature) as well as water of different pHs (acidic- lemon water, and basic- baking soda water). The most consumed beverages, such as soda, milk, coffee, and juice, have acidity between lemon water and normal water. The primary PK parameters were the maximum amount of epinephrine measured in plasma (Cmax) and exposure, or the area under the curve (AUC), at predefined time points after dosing, in 30 healthy adult subjects. Topline PK and PD data from the study showed no statistically significant difference in PK and PD results between the different groups based on temperature and pH variability in the mouth.</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July 2024, we reported positive topline data from the self-administration PK study of Anaphylm. The single-dose, three-period, randomized crossover study was designed to compare the PK and PD of Anaphylm self-administered, Anaphylm healthcare provider (HCP)-administered, and Adrenalin IM injection HCP- administered. The primary PK parameters were the Cmax and the AUC exposures, at predefined time points after dosing in 36 healthy adult subjects. The median time to maximum concentration (Tmax) was 15 minutes for both the Anaphylm self-administered and HCP-administered arms, while the median Tmax for the Adrenalin IM injection HCP-administered arm was 50 minutes post-administration. Also, there was no statistical difference between the Anaphylm self-administered and HCP- administered arms of the study based on a comparison of epinephrine exposures across the first 60 minutes post-administration. Topline PD data from the study showed no difference in the median increase in systolic blood pressure, diastolic blood pressure, and heart rate whether Anaphylm was self-administered or HCP-administered.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we reported positive topline data from an oral allergy syndrome challenge study (now referred to as the "OASIS" study), meeting both primary and secondary endpoints. The two-part study demonstrated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Anaphylm's PK and PD profile during allergen-induced oral physiological changes was consistent with its profile without an allergen challenge. In addition, following allergen exposure where 94% of subjects exhibited moderate to severe symptoms per the predefined oral severity score, rapid symptom resolution was observed beginning as early as 2 minutes post-administration. The median time to complete symptom resolution was 12 minutes compared to 74 minutes at screening baseline, with 50% of all symptoms across all subjects resolving by 5 minutes. The mean time of symptom resolution for edema, which affected approximately 25% of subjects, was 5 minutes after Anaphylm administration. The PK profile remained consistent, with median Tmax maintained at 12 minutes and comparable Cmax values between allergen-exposed and non-exposed cohorts. The safety profile was favorable, with all adverse events classified as mild to moderate and resolving without medical intervention.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Also in October 2024, at the ACAAI 2024 Annual Meeting in Boston, we presented results from a subsequent analysis of our pivotal study data demonstrating Anaphylm's consistent PK and PD profile regardless of variable placement or intraoral movement. The analysis showed that 87.5% of subjects maintained consistent film placement during disintegration. In the 12.5% of subjects where movement was noted, there were no significant differences in Cmax and Tmax. These findings further demonstrate that initial placement or subsequent movement of the sublingual film had no impact on epinephrine PK or PD comparability to epinephrine autoinjectors.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November 22, 2024, we received positive pre-NDA written response feedback from the FDA prior to our planned NDA submission in the first quarter of 2025. The FDA did not indicate in those responses that any additional adult clinical trials would be necessary for submitting the NDA for Anaphylm. In addition, the FDA agreed with our planned NDA content and format for the submission, planned safety evaluation, and planned pediatric trial. The FDA also provided further guidance on additional data views to be included in the planned NDA submission and continued to emphasize its focus on PK sustainability for a single dose. In addition, the FDA requested minor modifications to the pediatric trial protocol which requested modifications were incorporated in the final pediatric trial protocol. Finally, the FDA noted that due to the new route of administration and the data supporting this route of administration, an advisory committee meeting may be necessary prior to FDA approval and we are preparing for this potential request from the FDA.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completed the NDA submission to the FDA in the first quarter of 2025. The pediatric study in subjects from the ages of 7 to 17 (weight greater than or equal to 30 kgs) was completed with positive topline data reported on April 1, 2025. A total of thirty-two patients completed the study. The PK results were consistent with previous adult studies. Anaphylm was shown to be safe and well-tolerated with no serious adverse events reported.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2025, the NDA submission was accepted by the FDA and a PDUFA target action date of January 31, 2026 was assigned. We are planning on initiating a product launch of Anaphylm, if approved by the FDA, in the first quarter of 2026. The Company is concurrently pursuing regulatory strategies outside the United States. It recently announced that it plans to hold an in-person meeting with Health Canada to discuss its planned New Drug Submission for Anaphylm. The Company submitted the initial briefing book to EMA and plans to submit a Marketing Authorization Application as soon as possible. </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AQST-108 </w:t>
      </w:r>
      <w:r>
        <w:rPr>
          <w:rFonts w:ascii="Times New Roman;serif" w:hAnsi="Times New Roman;serif"/>
          <w:b w:val="false"/>
          <w:color w:val="000000"/>
          <w:sz w:val="20"/>
        </w:rPr>
        <w:t>(epinephrine) Topical Gel – Our product candidate, AQST</w:t>
        <w:noBreakHyphen/>
        <w:t>108 is composed of the prodrug dipivefrin which is enzymatically cleaved into epinephrine after administration. AQST</w:t>
        <w:noBreakHyphen/>
        <w:t>108, is a topically delivered adrenergic agonist prodrug, which we believe has the potential to support the re-establishment of immune privilege in the hair follicle and we are pursuing its development for the treatment of alopecia areata, which is an autoimmune disease leading to hair loss on the scalp, face and, in more severe cases, other body areas. We completed the first human clinical trial for AQST-108. The two-part trial was designed to assess the safety and local tolerability of AQST-108. Part 1 was designed as a single ascending dose escalation study to assess the safety and PK of five different dose levels. The 1.0% dose of AQST-108 was chosen based on the down selection from the highest dose to move into the Part 2 study of the development program. In Part 2, three formulations based on excipient variations were evaluated in twelve healthy subjects. In Parts 1 and 2, no serious adverse events or topical adverse events were observed. In Part 2, the calculated percentage of AQST-108 observed in the skin remained consistent across all studied formulations and zero post-dose AQST-108 concentrations in plasma were observed. We received pre-IND FDA feedback in the fourth quarter of 2024 to align on the Phase 2a clinical trial design. We are continuing pre-clinical development studies in advance of plans to open an IND in the fourth quarter of 2025 and initiate the Phase 2a clinical trial in the first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Proprietary CNS Product</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believe the application of our proprietary PharmFilm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technology is particularly valuable and relevant to patients suffering from certain CNS disorders to meet patients’ unmet medical needs and to solve patients’ therapeutic problems. Our most advanced asset within our proprietary CNS portfolio, focused in epilepsy, is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Libervant®</w:t>
      </w:r>
      <w:r>
        <w:rPr>
          <w:color w:val="000000"/>
        </w:rPr>
        <w:t xml:space="preserve"> – </w:t>
      </w:r>
      <w:r>
        <w:rPr>
          <w:rFonts w:ascii="Times New Roman;serif" w:hAnsi="Times New Roman;serif"/>
          <w:b w:val="false"/>
          <w:color w:val="000000"/>
          <w:sz w:val="20"/>
        </w:rPr>
        <w:t xml:space="preserve">a buccally, or inside of the cheek, administered soluble film formulation of diazepam, Libervant was developed as an alternative to device-dependent rescue therapies currently available to patients with refractory epilepsy, which are a rectal gel and nasal sprays. </w:t>
      </w:r>
    </w:p>
    <w:p>
      <w:pPr>
        <w:pStyle w:val="TextBody"/>
        <w:bidi w:val="0"/>
        <w:spacing w:lineRule="auto" w:line="288" w:before="0" w:after="120"/>
        <w:jc w:val="both"/>
        <w:rPr/>
      </w:pPr>
      <w:r>
        <w:rPr>
          <w:rFonts w:ascii="Times New Roman;serif" w:hAnsi="Times New Roman;serif"/>
          <w:b w:val="false"/>
          <w:color w:val="000000"/>
          <w:sz w:val="20"/>
        </w:rPr>
        <w:t>On April 26, 2024, the FDA approved Libervant for U.S. market access for the acute treatment of intermittent, stereotypic episodes of frequent seizure activity (</w:t>
      </w:r>
      <w:r>
        <w:rPr>
          <w:rFonts w:ascii="Times New Roman;serif" w:hAnsi="Times New Roman;serif"/>
          <w:b w:val="false"/>
          <w:i/>
          <w:color w:val="000000"/>
          <w:sz w:val="20"/>
        </w:rPr>
        <w:t>i.e.</w:t>
      </w:r>
      <w:r>
        <w:rPr>
          <w:rFonts w:ascii="Times New Roman;serif" w:hAnsi="Times New Roman;serif"/>
          <w:b w:val="false"/>
          <w:color w:val="000000"/>
          <w:sz w:val="20"/>
        </w:rPr>
        <w:t xml:space="preserve">, seizure clusters, ARS) that are distinct from a patient’s usual seizure pattern in patients with epilepsy between two to five years of age. Libervant is the first and only orally administered rescue product for the treatment of seizure cluster in patients between ages two to five. The only other current FDA approved products for these ARS patients between two to five years of age is a diazepam rectal gel and a diazepam nasal spray. In October 2024, Libervant 5mg, 7.5mg, 10mg, 12.5mg and 15 mg for ARS patients between two and five years of age became available through multiple retail distribution channels. In the fourth quarter of 2024 the FDA granted seven years of ODE to Libervant® (diazepam) Buccal Film for ARS patients between two to five years of age. Libervant was originally granted Orphan Drug Designation on November 10, 2016.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in a lawsuit brought by Neurelis, Inc. ("Neurelis") against the FDA (Neurelis, Inc. v. Califf, for which the Company joined as a Defendant Intervenor) challenging the FDA's approval of Libervant for ARS patients aged between two and five years, the U.S. District for the District of Columbia issued a final appealable order entering a judgment in favor of Neurelis's motion for summary judgement and vacating the FDA’s approval of Libervant. The District Court's ruling was not based on grounds of safety or efficacy of Libervant, but rather on the grounds that the law granting ODE to the FDA approved nasal spray Valtoco for patients aged six years and older should be interpreted to extend to children aged two to five years, despite that Valtoco was not approved by the FDA to treat these younger patients at the time the FDA approved Libervant for this pediatric age group. The FDA is appealing this ruling. As a result of the District Court ruling, the FDA converted the approval of Libervant for patients aged between two and five years to a "tentative approval" and Aquestive has ceased marketing activities for Libervant in the United States.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24, 2025, Aquestive filed a request with the FDA that the FDA also confirms approval of Libervant for ARS patients aged between two and five years on the FDA regulatory grounds of clinical superiority over the other currently existing FDA approved ARS drugs. FDA’s orphan drug regulations define a “clinically superior” drug as “a drug shown to provide a significant therapeutic advantage over and above that provided by an approved orphan drug (that is otherwise the same drug)” in one of three ways: the basis of greater efficacy or safety, or providing a major contribution to patient care. The FDA has taken this request under advisement and has not yet provided a response to the Company.</w:t>
      </w:r>
    </w:p>
    <w:p>
      <w:pPr>
        <w:pStyle w:val="TextBody"/>
        <w:bidi w:val="0"/>
        <w:spacing w:lineRule="auto" w:line="288" w:before="120" w:after="120"/>
        <w:jc w:val="both"/>
        <w:rPr/>
      </w:pPr>
      <w:r>
        <w:rPr>
          <w:rFonts w:ascii="Times New Roman;serif" w:hAnsi="Times New Roman;serif"/>
          <w:b w:val="false"/>
          <w:color w:val="000000"/>
          <w:sz w:val="20"/>
        </w:rPr>
        <w:t>Prior to the FDA approval of Libervant for ARS patients between two to five years, the FDA granted tentative approval in August 2022 for Libervant for the same indication in patients with epilepsy 12 years of age and older, finding that Libervant had met all required quality, safety, and efficacy standards for approval. However, due to the existing FDA regulatory grant of ODE for Valtoco for use in ARS patients 6 years of age and older, the FDA determined that Libervant was not yet eligible for marketing in the United States for this patient population of 12 years of age and older. We expect to file for FDA approval for use of Libervant for these ARS patients aged between 6 and 11 years prior to the expiration of the ODE for Valtoco. However, as a result of the ODE granted by the FDA to Valtoco and the District Court's ruling, the FDA cannot give final approval for U.S. market access for Libervant for any age group until the expiration of the ODE or a determination by the FDA of inapplicability of the ODE for Libervant, unless the District Court's ruling vacating the FDA approval of Libervant for ARS patients aged between two and five years is overturned on appeal. In the event that the District Court's ruling is reversed without further right of appeal, and the tentative approval of Libervant for ARS patients aged between two and five is converted to a final approval by the FDA, the Company would only be able to market Libervant for ARS patients aged between two and five years and would continue to be restricted from market access of Libervant for older ARS patients until the expiration of the ODE for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for any age group earlier than January 2027, the scheduled date for expiration of ODE for Valtoco. See “</w:t>
      </w:r>
      <w:r>
        <w:rPr>
          <w:rFonts w:ascii="Times New Roman;serif" w:hAnsi="Times New Roman;serif"/>
          <w:b w:val="false"/>
          <w:i/>
          <w:color w:val="000000"/>
          <w:sz w:val="20"/>
        </w:rPr>
        <w:t>Licensed Commercial Products, Product Candidates and Other Products – Libervant</w:t>
      </w:r>
      <w:r>
        <w:rPr>
          <w:color w:val="000000"/>
        </w:rPr>
        <w:t xml:space="preserve">” </w:t>
      </w:r>
      <w:r>
        <w:rPr>
          <w:rFonts w:ascii="Times New Roman;serif" w:hAnsi="Times New Roman;serif"/>
          <w:b w:val="false"/>
          <w:color w:val="000000"/>
          <w:sz w:val="20"/>
        </w:rPr>
        <w:t>for a discussion of the licensing arrangement for Libervant.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Licensed Commercial Products, Product Candidates and Other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portfolio also includes other products and product candidates that we have licensed, or will seek to license, or for which we have licensed our intellectual property for commercialization. In the six months ended June 30, 2025 and 2024, our licensed product portfolio generated $18,723 and $32,152 in revenue to Aquestive, respectively. Those products include: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Suboxone</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 xml:space="preserve">a sublingual film formulation of buprenorphine and naloxone, respectively an opioid agonist and antagonist, that is marketed in the United States and internationally for the treatment of opioid dependence. Suboxone was launched by our licensee, Indivior, in 2010. Suboxone is the most prescribed branded product in its category and was the first sublingual film product for the treatment of opioid dependence. We are the sole and exclusive supplier and manufacturer of Suboxone and have produced over 2.9 billion doses of Suboxone since its launch in 2010. As of June 30, 2025, Suboxone branded products retain approximately 26% film market share as generic film-based products have penetrated this market. We have filed patent infringement lawsuits against certain companies relating to generic film-based products for buprenorphine-naloxone. More details regarding these lawsuits are described in the accompanying condensed financial statements, Note 20,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contained herein. </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Emylif</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 xml:space="preserve">an oral film formulation of riluzole, has been developed by Aquestive for the treatment of ALS. We believe that Emylif can bring meaningful assistance to patients who are diagnosed with ALS and face difficulties swallowing traditional forms of medication. This product was originally approved and marketed in the U.S. under the name Exservan. Exservan was approved by the FDA on November 22, 2019. We submitted a request for voluntary withdrawal of the NDA as the product is no longer marketed in the U.S. and the NDA was officially withdrawn on February 14, 2025. </w:t>
      </w:r>
    </w:p>
    <w:p>
      <w:pPr>
        <w:pStyle w:val="TextBody"/>
        <w:bidi w:val="0"/>
        <w:spacing w:lineRule="auto" w:line="288" w:before="0" w:after="120"/>
        <w:jc w:val="both"/>
        <w:rPr/>
      </w:pPr>
      <w:r>
        <w:rPr>
          <w:rFonts w:ascii="Times New Roman;serif" w:hAnsi="Times New Roman;serif"/>
          <w:b w:val="false"/>
          <w:color w:val="000000"/>
          <w:sz w:val="20"/>
        </w:rPr>
        <w:t>During the fourth quarter of 2019, we announced the grant of a license to Zambon for the development and commercialization of Exservan in the EU for the treatment of ALS which it markets as Emylif</w:t>
      </w:r>
      <w:r>
        <w:rPr>
          <w:rFonts w:ascii="Times New Roman;serif" w:hAnsi="Times New Roman;serif"/>
          <w:b w:val="false"/>
          <w:color w:val="000000"/>
          <w:sz w:val="13"/>
        </w:rPr>
        <w:t>®</w:t>
      </w:r>
      <w:r>
        <w:rPr>
          <w:rFonts w:ascii="Times New Roman;serif" w:hAnsi="Times New Roman;serif"/>
          <w:b w:val="false"/>
          <w:color w:val="000000"/>
          <w:sz w:val="20"/>
        </w:rPr>
        <w:t>. Zambon is a multinational pharmaceutical company with a focus on the CNS therapeutic area. Under the terms of the license agreement with Zambon, an upfront payment was paid to Aquestive for the development and commercialization rights of Emylif in the EU, and Aquestive will be paid development and sales milestone payments and low double-digit royalties on net sales of the product in the EU. Zambon is responsible for the regulatory approval and marketing of Emylif in the countries where Zambon seeks to market the product and Aquestive is responsible for the development and manufacture of the product. During the second quarter of 2025, Aquestive earned a $500 milestone payment in connection with the sale of Emylif pursuant to the terms of the license agreement with Zambon.</w:t>
      </w:r>
    </w:p>
    <w:p>
      <w:pPr>
        <w:pStyle w:val="TextBody"/>
        <w:bidi w:val="0"/>
        <w:spacing w:lineRule="auto" w:line="288" w:before="0" w:after="120"/>
        <w:jc w:val="both"/>
        <w:rPr/>
      </w:pPr>
      <w:r>
        <w:rPr>
          <w:rFonts w:ascii="Times New Roman;serif" w:hAnsi="Times New Roman;serif"/>
          <w:b w:val="false"/>
          <w:color w:val="000000"/>
          <w:sz w:val="20"/>
        </w:rPr>
        <w:t xml:space="preserve">In January 2021, we announced that we granted an exclusive license to MTPA for the commercialization in the United States of Exservan. MTPA is a multinational pharmaceutical company with a focus on patients with ALS. The product was launched by MTPA in June 2021. Under the terms of the MTPA license agreement, Aquestive was the exclusive manufacturer and supplier of Exservan for MTPA in the United States. In June 2024, the Company and MTPA mutually agreed to terminate the MTPA Licensing Agreement. See Note 6, </w:t>
      </w:r>
      <w:r>
        <w:rPr>
          <w:rFonts w:ascii="Times New Roman;serif" w:hAnsi="Times New Roman;serif"/>
          <w:b w:val="false"/>
          <w:i/>
          <w:color w:val="000000"/>
          <w:sz w:val="20"/>
        </w:rPr>
        <w:t xml:space="preserve">Material Agreements </w:t>
      </w:r>
      <w:r>
        <w:rPr>
          <w:rFonts w:ascii="Times New Roman;serif" w:hAnsi="Times New Roman;serif"/>
          <w:b w:val="false"/>
          <w:color w:val="000000"/>
          <w:sz w:val="20"/>
        </w:rPr>
        <w:t xml:space="preserve">to our accompanying condensed financial statements for details. </w:t>
      </w:r>
    </w:p>
    <w:p>
      <w:pPr>
        <w:pStyle w:val="TextBody"/>
        <w:bidi w:val="0"/>
        <w:spacing w:lineRule="auto" w:line="288" w:before="0" w:after="120"/>
        <w:jc w:val="both"/>
        <w:rPr/>
      </w:pPr>
      <w:r>
        <w:rPr>
          <w:rFonts w:ascii="Times New Roman;serif" w:hAnsi="Times New Roman;serif"/>
          <w:b w:val="false"/>
          <w:color w:val="000000"/>
          <w:sz w:val="20"/>
        </w:rPr>
        <w:t xml:space="preserve">In March 2022, we announced the grant of an exclusive license to Haisco for Haisco to develop and commercialize Exservan for the treatment of ALS in China. Haisco is a China-based public pharmaceutical company. Haisco lead the regulatory and commercialization activities for Exservan in China. Aquestive was the exclusive sole manufacturer and supplier for Exservan in China. Under the terms of the license agreement with Haisco, as amended, Aquestive received a $7,000 upfront payment in September 2022, and was to receive regulatory milestone payments, double-digit royalties on net sales of Exservan in China, and earn manufacturing revenue upon the sale of Exservan in China. In June 2024, Aquestive and Haisco mutually agreed to terminate the Haisco Agreement. See Note 6, </w:t>
      </w:r>
      <w:r>
        <w:rPr>
          <w:rFonts w:ascii="Times New Roman;serif" w:hAnsi="Times New Roman;serif"/>
          <w:b w:val="false"/>
          <w:i/>
          <w:color w:val="000000"/>
          <w:sz w:val="20"/>
        </w:rPr>
        <w:t xml:space="preserve">Material Agreements </w:t>
      </w:r>
      <w:r>
        <w:rPr>
          <w:rFonts w:ascii="Times New Roman;serif" w:hAnsi="Times New Roman;serif"/>
          <w:b w:val="false"/>
          <w:color w:val="000000"/>
          <w:sz w:val="20"/>
        </w:rPr>
        <w:t xml:space="preserve">to our accompanying condensed financial statements for details. </w:t>
      </w:r>
    </w:p>
    <w:p>
      <w:pPr>
        <w:pStyle w:val="TextBody"/>
        <w:bidi w:val="0"/>
        <w:spacing w:lineRule="auto" w:line="288" w:before="0" w:after="120"/>
        <w:ind w:left="0" w:right="0" w:hanging="360"/>
        <w:jc w:val="both"/>
        <w:rPr/>
      </w:pPr>
      <w:r>
        <w:rPr>
          <w:strike/>
          <w:color w:val="000000"/>
        </w:rPr>
        <w:t>•</w:t>
      </w:r>
      <w:r>
        <w:rPr>
          <w:rFonts w:ascii="Times New Roman;serif" w:hAnsi="Times New Roman;serif"/>
          <w:b/>
          <w:color w:val="000000"/>
          <w:sz w:val="20"/>
        </w:rPr>
        <w:t>Ondif</w:t>
      </w:r>
      <w:r>
        <w:rPr>
          <w:rFonts w:ascii="Times New Roman;serif" w:hAnsi="Times New Roman;serif"/>
          <w:b w:val="false"/>
          <w:color w:val="000000"/>
          <w:sz w:val="13"/>
        </w:rPr>
        <w:t>®</w:t>
      </w:r>
      <w:r>
        <w:rPr>
          <w:color w:val="000000"/>
        </w:rPr>
        <w:t xml:space="preserve"> – </w:t>
      </w:r>
      <w:r>
        <w:rPr>
          <w:rFonts w:ascii="Times New Roman;serif" w:hAnsi="Times New Roman;serif"/>
          <w:b w:val="false"/>
          <w:color w:val="000000"/>
          <w:sz w:val="20"/>
        </w:rPr>
        <w:t>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this product to Hypera in Brazil (which Hypera markets as Ondif). Hypera received approval to market Ondif in Brazil from ANVISA on February 21, 2022. Aquestive manufactures and supplies Ondif to Hypera. This product was originally approved and marketed in the U.S. under the name Zuplenz®. We submitted a request for voluntary withdrawal of the NDA for Zuplenz, as the product is no longer marketed in the U.S. In November 2024, the request for FDA withdrawal of the NDA for Zuplenz was completed.</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rPr>
        <w:t>Libervant</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 xml:space="preserve">We entered into the Pharmanovia Agreement with Pharmanovia, effective as of September 26, 2022, pursuant to which we granted Pharmanovia an exclusive license to certain of our intellectual property to develop and commercialize Libervant for the treatment of prolonged or acute, convulsive seizures in all ages in certain countries of the Territory, as defined in the Pharmanovia Agreement, during the term of the Pharmanovia Agreement. Under the Pharmanovia Agreement, Pharmanovia will lead the regulatory and commercialization activities for Libervant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Territory and Aquestive will serve as the exclusive sole manufacturer and supplier of Libervant in the Territory. We received $3.5 million upon agreement execution. Effective March 27, 2023, we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we received a non-refundable payment of $2.0 million from Pharmanovia on execution of the Pharmanovia Amendment.</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rPr>
        <w:t>Sympazan</w:t>
      </w:r>
      <w:r>
        <w:rPr>
          <w:rFonts w:ascii="Times New Roman;serif" w:hAnsi="Times New Roman;serif"/>
          <w:b/>
          <w:color w:val="000000"/>
          <w:sz w:val="13"/>
        </w:rPr>
        <w:t xml:space="preserve">® </w:t>
      </w:r>
      <w:r>
        <w:rPr>
          <w:color w:val="000000"/>
        </w:rPr>
        <w:t xml:space="preserve">– </w:t>
      </w:r>
      <w:r>
        <w:rPr>
          <w:rFonts w:ascii="Times New Roman;serif" w:hAnsi="Times New Roman;serif"/>
          <w:b w:val="false"/>
          <w:color w:val="000000"/>
          <w:sz w:val="20"/>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we entered into a License Agreement with Otter Pharmaceuticals, LLC, a subsidiary of Assertio Holdings, Inc., pursuant to which we granted an exclusive, worldwide license of its intellectual property for Sympazan to Assertio during the term of that agreement for an upfront payment of $9.0 million. Additionally, we subsequently received from Assertio a $6.0 million milestone payment upon its receipt of a notice of allowance from the United States Patent and Trademark Office of its patent application U.S. Serial No. 16/561,573, and payment of the related allowance fee. Aquestive is the exclusive sole manufacturer and supplier of Sympazan for Assertio and will receive manufacturing fees from Assertio for the product through the expiration of such License Agreement.</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KYNMOBI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 sublingual film formulation of apomorphine, which is a dopamine agonist, was developed to treat episodic off-periods in Parkinson’s disease. We licensed our intellectual property to Cynapsus Therapeutics, Inc., a company that was acquired by Sunovion for the commercialization of KYNMOBI under the Sunovion License Agreement. KYNMOBI was approved by the FDA on May 21, 2020 and commercially launched by Sunovion in September 2020. 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In June 2023, Sunovion announced that it had voluntarily withdrawn KYNMOBI from the U.S. and Canadian markets.</w:t>
      </w:r>
    </w:p>
    <w:p>
      <w:pPr>
        <w:pStyle w:val="TextBody"/>
        <w:bidi w:val="0"/>
        <w:spacing w:lineRule="auto" w:line="288" w:before="0" w:after="120"/>
        <w:ind w:left="0" w:right="0" w:hanging="360"/>
        <w:jc w:val="both"/>
        <w:rPr/>
      </w:pPr>
      <w:r>
        <w:rPr>
          <w:color w:val="000000"/>
          <w:shd w:fill="FFFFFF" w:val="clear"/>
        </w:rPr>
        <w:t>•</w:t>
      </w:r>
      <w:r>
        <w:rPr>
          <w:rFonts w:ascii="Times New Roman;serif" w:hAnsi="Times New Roman;serif"/>
          <w:b/>
          <w:color w:val="000000"/>
          <w:sz w:val="20"/>
          <w:shd w:fill="FFFFFF" w:val="clear"/>
        </w:rPr>
        <w:t>Azstarys</w:t>
      </w:r>
      <w:r>
        <w:rPr>
          <w:rFonts w:ascii="Times New Roman;serif" w:hAnsi="Times New Roman;serif"/>
          <w:b w:val="false"/>
          <w:color w:val="000000"/>
          <w:sz w:val="13"/>
        </w:rPr>
        <w:t>®</w:t>
      </w:r>
      <w:r>
        <w:rPr>
          <w:color w:val="000000"/>
          <w:shd w:fill="FFFFFF" w:val="clear"/>
        </w:rPr>
        <w:t xml:space="preserve"> –</w:t>
      </w:r>
      <w:r>
        <w:rPr>
          <w:color w:val="000000"/>
        </w:rPr>
        <w:t xml:space="preserve"> </w:t>
      </w:r>
      <w:r>
        <w:rPr>
          <w:rFonts w:ascii="Times New Roman;serif" w:hAnsi="Times New Roman;serif"/>
          <w:b w:val="false"/>
          <w:color w:val="000000"/>
          <w:sz w:val="20"/>
          <w:shd w:fill="FFFFFF" w:val="clear"/>
        </w:rPr>
        <w:t xml:space="preserve">an FDA-approved, once-daily product for the treatment of ADHD in patients age 6 years or older. AZSTARYS consists of serdexmethylphenidate, a prodrug of d-methylphenidate (d-MPH), co-formulated with immediate release d-MPH. In March 2012, we entered into an agreement with Zevra (formerly KemPharm, Inc.) to terminate a Collaboration and License Agreement entered into by the Company and Zevra in April 2011. Under this termination arrangement, we have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w:t>
      </w:r>
      <w:r>
        <w:rPr>
          <w:rFonts w:ascii="Times New Roman;serif" w:hAnsi="Times New Roman;serif"/>
          <w:b w:val="false"/>
          <w:color w:val="000000"/>
          <w:sz w:val="20"/>
        </w:rPr>
        <w:t xml:space="preserve">Pursuant to the terms of the March 2012 agreement with Zevra, we began to receive </w:t>
      </w:r>
      <w:r>
        <w:rPr>
          <w:rFonts w:ascii="Times New Roman;serif" w:hAnsi="Times New Roman;serif"/>
          <w:b w:val="false"/>
          <w:color w:val="000000"/>
          <w:sz w:val="20"/>
          <w:shd w:fill="FFFFFF" w:val="clear"/>
        </w:rPr>
        <w:t>milestone and royalty revenues for Azstarys.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use of estimates as previously disclosed in our 2024 Annual Report on Form 10-K.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Smaller Reporting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we are not an investment company, an asset-backed issuer, or a majority-owned subsidiary of a parent company that is not a "smaller reporting company" which allows us to take advantage of certain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revenues to date have been earned from our manufactured products made to order for licensees, as well as revenue from our self-developed, self-commercialized proprietary product, Libervant.</w:t>
      </w:r>
      <w:r>
        <w:rPr>
          <w:color w:val="000000"/>
          <w:shd w:fill="FFFFFF" w:val="clear"/>
        </w:rPr>
        <w:t xml:space="preserve"> </w:t>
      </w:r>
      <w:r>
        <w:rPr>
          <w:rFonts w:ascii="Times New Roman;serif" w:hAnsi="Times New Roman;serif"/>
          <w:b w:val="false"/>
          <w:color w:val="000000"/>
          <w:sz w:val="20"/>
          <w:shd w:fill="FFFFFF" w:val="clear"/>
        </w:rPr>
        <w:t>R</w:t>
      </w:r>
      <w:r>
        <w:rPr>
          <w:rFonts w:ascii="Times New Roman;serif" w:hAnsi="Times New Roman;serif"/>
          <w:b w:val="false"/>
          <w:color w:val="000000"/>
          <w:sz w:val="20"/>
        </w:rPr>
        <w:t>evenues are also earned from our product development services provided under contracts with customers, and from the licensing of our intellectual property. We generate revenues in four primary categories: manufacture and supply revenue, license and royalty revenue, co-development and research fees, and proprietary product revenue, net.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manufacture based on receipt of purchase orders from our licensees, and our licensees have an obligation to accept these orders once quality assurance validates the quality of the manufactured product with agreed upon technical specifications. In most cases, our licensees are responsible for all other aspects of commercialization of these products, and we have no role, either direct or indirect, in our customers’ commercialization activities, including those related to marketing, pricing, sales, payor access and regulatory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License and Royalty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Co-development and Research Fees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our R&amp;D projects may range from several months to as long as three years. Although each contractual arrangement is unique, common milestones contained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Proprietary product revenue, net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net revenue is recognized when product is shipped and title passes to the customer, typically at time of delivery. At the time of sale, estimates for various revenue allowances are recorded based on historical trends and judgmental estimates. For sales of Libervant for patients between two to five years of age while Libervant had U.S. market access through April 2025, returns allowances and prompt pay discounts are estimated based on contract terms and historical return rates, if available, and these estimates are recorded as a reduction of receivables. Once receivables are collected, allowances are reclassified and treated as accrued liabilities. Similarly determined estimates are recorded relating to wholesaler service fees, co-pay support redemptions, and other rebates, and these estimates are reflected as a component of accrued liabilities. Once related variable considerations are resolved and uncertainties as to incurred amounts are eliminated, estimates are adjusted to actual allowance amounts. Provisions for these estimated amounts are reviewed and adjusted on no less than a quarterly basis.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Manufacture and Supply Costs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our proprietary products coming online, we may add licensee products which may need additional resources to manufacture. If such growth should occur for higher volume product opportunities such as Suboxone and Ondif, we would incur increased costs associated with hiring additional personnel to support the increased manufacturing and supply costs arising from higher manufactured volumes from proprietary and licensed products.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significant resources on our R&amp;D activities. R&amp;D expenses primarily consist of: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employee-related expenses, including compensation, benefits, share-based compensation and travel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external R&amp;D expenses incurred under arrangements with third parties, such as CROs, investigational sites and consultants;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 of acquiring, developing and manufacturing clinical study materials;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costs associated with preclinical and clinical activities and regulatory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R&amp;D expenses to continue to be significant over the next several years as we continue to develop existing product candidates such as Anaphylm, AQST-108 and others, and as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benefits, share-based compensation, other related costs for executive, finance, and operational personnel. Other costs include facility and related costs not otherwise included in R&amp;D expenses such as: professional fees for patent-related and other legal expenses, regulatory fees, consulting, tax and accounting services; insurance; market research; advisory board and key opinion leaders; depreciation; and general corporate expenses, inclusive of IT systems related costs. In addition, these expenses also include warehousing, distribution, selling and business development, and other costs.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continue to manage business costs to prepare for a potential future decline in Suboxone revenue and other external factors affecting our business. We continue to focus on our core business and regulatory and pre-commercial launch activities for Anaphylm.</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of interest costs on the outstanding balances of our 13.5% Notes at a fixed rate of 13.5%, payable quarterly, as well as amortization of issuance costs and debt discounts. The issuance of 13.5% Notes is discussed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Note 14, </w:t>
      </w:r>
      <w:r>
        <w:rPr>
          <w:rFonts w:ascii="Times New Roman;serif" w:hAnsi="Times New Roman;serif"/>
          <w:b w:val="false"/>
          <w:i/>
          <w:color w:val="000000"/>
          <w:sz w:val="20"/>
        </w:rPr>
        <w:t>Long-Term Debt</w:t>
      </w:r>
      <w:r>
        <w:rPr>
          <w:rFonts w:ascii="Times New Roman;serif" w:hAnsi="Times New Roman;serif"/>
          <w:b w:val="false"/>
          <w:color w:val="000000"/>
          <w:sz w:val="20"/>
        </w:rPr>
        <w:t xml:space="preserve">, to our Condensed Financial Statements.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below for further detail on our 13.5% Notes.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to Royalty Obligations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 connection with the issuance of the 13.5% Notes, we entered into the Royalty Rights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 These royalty agreements are classified as debt, and the value of the $45,000 13.5% Notes has been allocated between debt and the Royalty Obligations based on their relative fair market values. The excess of future estimated royalty payments of $56,546 over the $13,476 of the allocated fair value is recognized as a discount related to the Royalty Right Agreements and is amortized as interest expense using the effective interest method. The 13.5% Notes are discussed in Note 14, </w:t>
      </w:r>
      <w:r>
        <w:rPr>
          <w:rFonts w:ascii="Times New Roman;serif" w:hAnsi="Times New Roman;serif"/>
          <w:b w:val="false"/>
          <w:i/>
          <w:color w:val="000000"/>
          <w:sz w:val="20"/>
        </w:rPr>
        <w:t xml:space="preserve">Long-Term Debt </w:t>
      </w:r>
      <w:r>
        <w:rPr>
          <w:rFonts w:ascii="Times New Roman;serif" w:hAnsi="Times New Roman;serif"/>
          <w:b w:val="false"/>
          <w:color w:val="000000"/>
          <w:sz w:val="20"/>
        </w:rPr>
        <w:t>to our Condensed Financial Statements</w:t>
      </w:r>
      <w:r>
        <w:rPr>
          <w:rFonts w:ascii="Times New Roman;serif" w:hAnsi="Times New Roman;serif"/>
          <w:b w:val="false"/>
          <w:i/>
          <w:color w:val="000000"/>
          <w:sz w:val="20"/>
        </w:rPr>
        <w: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related to the Sale of Future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3, 2020, we entered into the Monetization Agreement with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June 30, 2025 under the Monetization Agreement.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Monetization Agreement, additional contingent payments of up to $75,000 may be due to us upon the achievement of worldwide royalty and other commercial targets within a specified timeframe, which could result in total potential proceeds of $125,000. In June 2023, Sunovion announced that it has voluntarily withdrawn KYNMOBI from the U.S. and Canadian markets, therefore, we likely will not receive any of the additional contingent payments under the Monetization agreement. We discontinued recording interest expense related to the sale of future revenue under the Monetization agreement in the fourth quarter of 2022.</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During the second quarter of 2020, under the Sunovion License Agreement, we recognized $8,000 of royalty revenue and corresponding royalty receivable, related to the $1,000 annual minimum guaranteed royalty that is due in each of the subsequent eight years. In connection with the Monetization Agreement, we performed an assessment under ASC 860, </w:t>
      </w:r>
      <w:r>
        <w:rPr>
          <w:rFonts w:ascii="Times New Roman;serif" w:hAnsi="Times New Roman;serif"/>
          <w:b w:val="false"/>
          <w:i/>
          <w:color w:val="000000"/>
          <w:sz w:val="20"/>
        </w:rPr>
        <w:t xml:space="preserve">Transfer and Servicing </w:t>
      </w:r>
      <w:r>
        <w:rPr>
          <w:rFonts w:ascii="Times New Roman;serif" w:hAnsi="Times New Roman;serif"/>
          <w:b w:val="false"/>
          <w:color w:val="000000"/>
          <w:sz w:val="20"/>
        </w:rPr>
        <w:t xml:space="preserve">to determine whether the existing receivable was transferred to Marathon and concluded that the receivable was not transferred.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to our Condensed Financial Statements for further detail.</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Income and other income,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net consists of earnings derived from an interest-bearing account, investments in money market Treasury mutual funds and other miscellaneous income and expense items. The interest-bearing account and money market Treasury mutual funds have no minimum amounts to be maintained in the accounts nor any fixed length of period for which interest and dividends are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2025 and 2024</w:t>
      </w:r>
    </w:p>
    <w:p>
      <w:pPr>
        <w:pStyle w:val="TextBody"/>
        <w:bidi w:val="0"/>
        <w:spacing w:lineRule="auto" w:line="288" w:before="0" w:after="120"/>
        <w:jc w:val="left"/>
        <w:rPr/>
      </w:pPr>
      <w:r>
        <w:rPr>
          <w:rFonts w:ascii="Times New Roman;serif" w:hAnsi="Times New Roman;serif"/>
          <w:b w:val="false"/>
          <w:i/>
          <w:color w:val="000000"/>
          <w:sz w:val="20"/>
        </w:rPr>
        <w:t>Revenues</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data for the periods indicated.</w:t>
      </w:r>
    </w:p>
    <w:tbl>
      <w:tblPr>
        <w:tblW w:w="11390" w:type="dxa"/>
        <w:jc w:val="left"/>
        <w:tblInd w:w="0" w:type="dxa"/>
        <w:tblLayout w:type="fixed"/>
        <w:tblCellMar>
          <w:top w:w="28" w:type="dxa"/>
          <w:left w:w="28" w:type="dxa"/>
          <w:bottom w:w="28" w:type="dxa"/>
          <w:right w:w="28" w:type="dxa"/>
        </w:tblCellMar>
      </w:tblPr>
      <w:tblGrid>
        <w:gridCol w:w="844"/>
        <w:gridCol w:w="320"/>
        <w:gridCol w:w="322"/>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8"/>
        <w:gridCol w:w="188"/>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8"/>
        <w:gridCol w:w="188"/>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br/>
              <w:t>Change</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royalty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Co-development and research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 revenue,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i/>
          <w:color w:val="000000"/>
          <w:sz w:val="20"/>
        </w:rPr>
        <w:t xml:space="preserve">Three Months Ended </w:t>
      </w:r>
      <w:r>
        <w:rPr>
          <w:rFonts w:ascii="Times New Roman;serif" w:hAnsi="Times New Roman;serif"/>
          <w:b/>
          <w:color w:val="000000"/>
          <w:sz w:val="20"/>
        </w:rPr>
        <w:t>June 30, 2025</w:t>
      </w:r>
      <w:r>
        <w:rPr>
          <w:color w:val="000000"/>
        </w:rPr>
        <w:t xml:space="preserve"> </w:t>
      </w:r>
      <w:r>
        <w:rPr>
          <w:rFonts w:ascii="Times New Roman;serif" w:hAnsi="Times New Roman;serif"/>
          <w:b/>
          <w:i/>
          <w:color w:val="000000"/>
          <w:sz w:val="20"/>
        </w:rPr>
        <w:t xml:space="preserve">Compared to Three Months Ended </w:t>
      </w:r>
      <w:r>
        <w:rPr>
          <w:rFonts w:ascii="Times New Roman;serif" w:hAnsi="Times New Roman;serif"/>
          <w:b/>
          <w:color w:val="000000"/>
          <w:sz w:val="20"/>
        </w:rPr>
        <w:t>June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total revenues decreased 50%, or $10,096, compared to the same period in the prior year primarily due to decreases in license and royalty revenue and proprietary product revenue, net partially offset by increases in 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 and supply revenue increased approximately 18%, or $1,460, for the three months ended June 30, 2025 compared to the same period in the prior year. This increase was primarily due to a $1,951 increase in Ondif revenues, partially offset by a $435 decrease in Suboxone revenues.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License and royalty revenue decreased 93%, or $10,381, for the three months ended June 30, 2025 compared to the same period in the prior year. This decrease was primarily due to the one-time recognition of deferred revenues of $7,000 due to the termination of the Licensing and Supply Agreement with Haisco and $3,317 due to the termination of the Licensing Agreement with MTPA in the prior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for the three months ended June 30, 2025 decreased 50%, or $378, for the three months ended June 30, 2025 compared to the same period in the prior year. This decrease was driven by the timing of the achievement of research and co-development performance obligations which are expected to fluctuate among reporting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Proprietary product revenue, net decreased by $797 for the three months ended June 30, 2025 compared to the same period in the prior year. This decrease was primarily due to the change in the estimated returns allowance provision due to the withdrawal of the product as U.S. market access ended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Times New Roman;serif" w:hAnsi="Times New Roman;serif"/>
          <w:b/>
          <w:i/>
          <w:color w:val="000000"/>
          <w:sz w:val="20"/>
        </w:rPr>
        <w:t xml:space="preserve">Six Months Ended </w:t>
      </w:r>
      <w:r>
        <w:rPr>
          <w:rFonts w:ascii="Times New Roman;serif" w:hAnsi="Times New Roman;serif"/>
          <w:b/>
          <w:color w:val="000000"/>
          <w:sz w:val="20"/>
        </w:rPr>
        <w:t>June 30, 2025</w:t>
      </w:r>
      <w:r>
        <w:rPr>
          <w:color w:val="000000"/>
        </w:rPr>
        <w:t xml:space="preserve"> </w:t>
      </w:r>
      <w:r>
        <w:rPr>
          <w:rFonts w:ascii="Times New Roman;serif" w:hAnsi="Times New Roman;serif"/>
          <w:b/>
          <w:i/>
          <w:color w:val="000000"/>
          <w:sz w:val="20"/>
        </w:rPr>
        <w:t xml:space="preserve">Compared to Six Months Ended </w:t>
      </w:r>
      <w:r>
        <w:rPr>
          <w:rFonts w:ascii="Times New Roman;serif" w:hAnsi="Times New Roman;serif"/>
          <w:b/>
          <w:color w:val="000000"/>
          <w:sz w:val="20"/>
        </w:rPr>
        <w:t>June 30, 2024</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total revenues decreased 42%, or $13,429, compared to the same period in the prior year primarily due to decreases in license and royalty revenue and manufacture and supply revenue.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revenue decreased approximately 10%, or $1,865, for the six months ended June 30, 2025 compared to the same period in the prior year. This decrease was primarily due to a $4,898 decrease in Suboxone revenues, partially offset by a $3,422 increase in Ondif revenues.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License and royalty revenue decreased 87%, or $10,723, for the six months ended June 30, 2025 compared to the same period in the prior year. This decrease was primarily due to the one-time recognition of deferred revenues of $7,000 due to the termination of the Licensing and Supply Agreement with Haisco and $3,317 due to the termination of the Licensing Agreement with MTPA in the prior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Co-development and research fees for the six months ended June 30, 2025 decreased 31%, or $363 compared to the same period in the prior year. This decrease was driven by the timing of the achievement of research and co-development performance obligations which are expected to fluctuate among reporting periods.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Proprietary product revenue, net decreased by $478 for the six months ended June 30, 2025 compared to the same period in the prior year. This decrease was primarily due to the change in the estimated returns allowance provision due to the withdrawal of the product as U.S. market access ended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Expenses, Interest Income and Other Income:</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expenses and income for the periods indicated.</w:t>
      </w:r>
    </w:p>
    <w:p>
      <w:pPr>
        <w:pStyle w:val="TextBody"/>
        <w:bidi w:val="0"/>
        <w:spacing w:before="0" w:after="0"/>
        <w:jc w:val="left"/>
        <w:rPr/>
      </w:pPr>
      <w:r>
        <w:rPr/>
      </w:r>
    </w:p>
    <w:tbl>
      <w:tblPr>
        <w:tblW w:w="10249" w:type="dxa"/>
        <w:jc w:val="left"/>
        <w:tblInd w:w="0" w:type="dxa"/>
        <w:tblLayout w:type="fixed"/>
        <w:tblCellMar>
          <w:top w:w="28" w:type="dxa"/>
          <w:left w:w="28" w:type="dxa"/>
          <w:bottom w:w="28" w:type="dxa"/>
          <w:right w:w="28" w:type="dxa"/>
        </w:tblCellMar>
      </w:tblPr>
      <w:tblGrid>
        <w:gridCol w:w="649"/>
        <w:gridCol w:w="320"/>
        <w:gridCol w:w="322"/>
        <w:gridCol w:w="211"/>
        <w:gridCol w:w="616"/>
        <w:gridCol w:w="109"/>
        <w:gridCol w:w="109"/>
        <w:gridCol w:w="109"/>
        <w:gridCol w:w="109"/>
        <w:gridCol w:w="211"/>
        <w:gridCol w:w="616"/>
        <w:gridCol w:w="109"/>
        <w:gridCol w:w="109"/>
        <w:gridCol w:w="109"/>
        <w:gridCol w:w="109"/>
        <w:gridCol w:w="227"/>
        <w:gridCol w:w="389"/>
        <w:gridCol w:w="109"/>
        <w:gridCol w:w="109"/>
        <w:gridCol w:w="109"/>
        <w:gridCol w:w="109"/>
        <w:gridCol w:w="201"/>
        <w:gridCol w:w="205"/>
        <w:gridCol w:w="271"/>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01"/>
        <w:gridCol w:w="205"/>
        <w:gridCol w:w="316"/>
      </w:tblGrid>
      <w:tr>
        <w:trPr/>
        <w:tc>
          <w:tcPr>
            <w:tcW w:w="64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w:t>
              <w:br/>
              <w:t>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 and supply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royalty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the sale of future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i/>
          <w:color w:val="000000"/>
          <w:sz w:val="20"/>
        </w:rPr>
        <w:t xml:space="preserve">Three Months Ended </w:t>
      </w:r>
      <w:r>
        <w:rPr>
          <w:rFonts w:ascii="Times New Roman;serif" w:hAnsi="Times New Roman;serif"/>
          <w:b/>
          <w:color w:val="000000"/>
          <w:sz w:val="20"/>
        </w:rPr>
        <w:t>June 30, 2025</w:t>
      </w:r>
      <w:r>
        <w:rPr>
          <w:color w:val="000000"/>
        </w:rPr>
        <w:t xml:space="preserve"> </w:t>
      </w:r>
      <w:r>
        <w:rPr>
          <w:rFonts w:ascii="Times New Roman;serif" w:hAnsi="Times New Roman;serif"/>
          <w:b/>
          <w:i/>
          <w:color w:val="000000"/>
          <w:sz w:val="20"/>
        </w:rPr>
        <w:t xml:space="preserve">Compared to Three Months Ended </w:t>
      </w:r>
      <w:r>
        <w:rPr>
          <w:rFonts w:ascii="Times New Roman;serif" w:hAnsi="Times New Roman;serif"/>
          <w:b/>
          <w:color w:val="000000"/>
          <w:sz w:val="20"/>
        </w:rPr>
        <w:t>June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Manufacture and supply costs and expenses and R&amp;D expenses for the three months ended June 30, 2025 remained relatively consistent compared to the same period in the prior year.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provide a breakdown of the major costs included in total R&amp;D expenses and project costs by type of expense for each of the main clinical development projects in which we are engaged for each period presented:</w:t>
      </w:r>
    </w:p>
    <w:tbl>
      <w:tblPr>
        <w:tblW w:w="7672"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18"/>
        <w:gridCol w:w="218"/>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w:t>
              <w:br/>
              <w:t>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details of the project expenses are as follows:</w:t>
      </w:r>
    </w:p>
    <w:tbl>
      <w:tblPr>
        <w:tblW w:w="11348" w:type="dxa"/>
        <w:jc w:val="left"/>
        <w:tblInd w:w="0" w:type="dxa"/>
        <w:tblLayout w:type="fixed"/>
        <w:tblCellMar>
          <w:top w:w="28" w:type="dxa"/>
          <w:left w:w="28" w:type="dxa"/>
          <w:bottom w:w="28" w:type="dxa"/>
          <w:right w:w="28" w:type="dxa"/>
        </w:tblCellMar>
      </w:tblPr>
      <w:tblGrid>
        <w:gridCol w:w="484"/>
        <w:gridCol w:w="424"/>
        <w:gridCol w:w="428"/>
        <w:gridCol w:w="211"/>
        <w:gridCol w:w="616"/>
        <w:gridCol w:w="109"/>
        <w:gridCol w:w="109"/>
        <w:gridCol w:w="109"/>
        <w:gridCol w:w="109"/>
        <w:gridCol w:w="211"/>
        <w:gridCol w:w="616"/>
        <w:gridCol w:w="109"/>
        <w:gridCol w:w="150"/>
        <w:gridCol w:w="135"/>
        <w:gridCol w:w="136"/>
        <w:gridCol w:w="211"/>
        <w:gridCol w:w="616"/>
        <w:gridCol w:w="109"/>
        <w:gridCol w:w="109"/>
        <w:gridCol w:w="109"/>
        <w:gridCol w:w="109"/>
        <w:gridCol w:w="211"/>
        <w:gridCol w:w="616"/>
        <w:gridCol w:w="109"/>
        <w:gridCol w:w="150"/>
        <w:gridCol w:w="135"/>
        <w:gridCol w:w="136"/>
        <w:gridCol w:w="109"/>
        <w:gridCol w:w="109"/>
        <w:gridCol w:w="109"/>
        <w:gridCol w:w="211"/>
        <w:gridCol w:w="466"/>
        <w:gridCol w:w="109"/>
        <w:gridCol w:w="109"/>
        <w:gridCol w:w="109"/>
        <w:gridCol w:w="109"/>
        <w:gridCol w:w="211"/>
        <w:gridCol w:w="406"/>
        <w:gridCol w:w="109"/>
        <w:gridCol w:w="135"/>
        <w:gridCol w:w="135"/>
        <w:gridCol w:w="136"/>
        <w:gridCol w:w="211"/>
        <w:gridCol w:w="406"/>
        <w:gridCol w:w="109"/>
        <w:gridCol w:w="109"/>
        <w:gridCol w:w="109"/>
        <w:gridCol w:w="109"/>
        <w:gridCol w:w="211"/>
        <w:gridCol w:w="406"/>
        <w:gridCol w:w="109"/>
        <w:gridCol w:w="123"/>
        <w:gridCol w:w="123"/>
        <w:gridCol w:w="17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Anaphylm</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AQST-108</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Libervant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inc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project expenses for Anaphylm decreased 29%, or $496 over the comparable period in 2024. Anaphylm clinical trial expenses decreased $687, partially offset by increases in Anaphylm product research expenses of $176 due to the continued advancement of the Anaphylm program. Total project expenses for AQST-108 increased $190, over the comparable period in 2024. AQST-108 clinical trial expenses increased $180 over the comparable period in 2024 due to the continued advancement of the AQST-108 program.</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12% or $1,349 for the three months ended June 30, 2025 as compared to the same period in the prior year. The increase primarily represents higher commercial spending of approximately $2,040, higher regulatory and licensing fees of approximately $630 related to the acceleration of the recognition of the regulatory fee for Libervant due to the change in regulatory status, higher personnel costs of approximately $400, higher regulatory expenses related to Anaphylm of approximately $240, higher share-based compensation expenses of approximately $230, and higher consulting fees of approximately $170, partially offset by lower legal fees of approximately $2,510 and lower insurance expenses of $240.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$2,781 and $2,779 for the three months ended June 30, 2025 and 2024, respectively. These amounts represent interest incurred on the outstanding 13.5% Notes, and amortization of the debt discount and capitalized debt issuance costs.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amortization of the discount on the royalty obligations was $1,434 and $1,358 for the three months ended June 30, 2025 and 2024, respectively. </w:t>
      </w:r>
      <w:r>
        <w:rPr>
          <w:rFonts w:ascii="Times New Roman;serif" w:hAnsi="Times New Roman;serif"/>
          <w:b w:val="false"/>
          <w:color w:val="000000"/>
          <w:sz w:val="20"/>
          <w:shd w:fill="FFFFFF" w:val="clear"/>
        </w:rPr>
        <w:t xml:space="preserve">These amounts are due to the accounting associated with the royalty obligations as part of the 13.5% Notes issuance. </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the sale of future revenue was $61 and $58 for the three months ended June 30, 2025 and 2024,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net was $2,096 and $1,395 for the three months ended June 30, 2025 and 2024, respectively. The increase primarily represents a ERTC credit received in April 2025, partially offset by lower investment income due to a lower cash balance invested in interest-bearing and dividend-earning money market accounts compared to the prior year period. In June 2024, the Company recorded a gain of $1,500 on the termination of a license and supply agreement, which was partially offset by the adjustment of $1,200 to the remaining balance of the intangible asset due to the termination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Six Months Ended June 30, 2025 Compared to Six Months Ended June 30, 2024</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 and supply costs and expenses decreased 8% or $702 for the six months ended June 30, 2025 compared to the same period in the prior year. The decrease was largely due to lower volume of strips sold and changes in product mix.</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R&amp;D expenses decreased 6% or $628 for the six months ended June 30, 2025 compared to the same period in the prior year. The decrease in R&amp;D expenses is primarily due to a decrease in clinical trial costs associated with the continued advancement of the Anaphylm program, partially offset by increases in personnel costs, and an increase in share-based compensation. The tables below provide a breakdown of the major costs included in total R&amp;D expenses and project costs by type of expense for each of the main clinical development projects in which we are engaged for each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tbl>
      <w:tblPr>
        <w:tblW w:w="8036" w:type="dxa"/>
        <w:jc w:val="left"/>
        <w:tblInd w:w="0" w:type="dxa"/>
        <w:tblLayout w:type="fixed"/>
        <w:tblCellMar>
          <w:top w:w="28" w:type="dxa"/>
          <w:left w:w="28" w:type="dxa"/>
          <w:bottom w:w="28" w:type="dxa"/>
          <w:right w:w="28" w:type="dxa"/>
        </w:tblCellMar>
      </w:tblPr>
      <w:tblGrid>
        <w:gridCol w:w="1019"/>
        <w:gridCol w:w="895"/>
        <w:gridCol w:w="905"/>
        <w:gridCol w:w="109"/>
        <w:gridCol w:w="109"/>
        <w:gridCol w:w="109"/>
        <w:gridCol w:w="109"/>
        <w:gridCol w:w="211"/>
        <w:gridCol w:w="616"/>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76"/>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personnel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R&amp;D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details of the project expenses are as follows:</w:t>
      </w:r>
    </w:p>
    <w:tbl>
      <w:tblPr>
        <w:tblW w:w="11363" w:type="dxa"/>
        <w:jc w:val="left"/>
        <w:tblInd w:w="0" w:type="dxa"/>
        <w:tblLayout w:type="fixed"/>
        <w:tblCellMar>
          <w:top w:w="28" w:type="dxa"/>
          <w:left w:w="28" w:type="dxa"/>
          <w:bottom w:w="28" w:type="dxa"/>
          <w:right w:w="28" w:type="dxa"/>
        </w:tblCellMar>
      </w:tblPr>
      <w:tblGrid>
        <w:gridCol w:w="484"/>
        <w:gridCol w:w="424"/>
        <w:gridCol w:w="428"/>
        <w:gridCol w:w="211"/>
        <w:gridCol w:w="616"/>
        <w:gridCol w:w="109"/>
        <w:gridCol w:w="109"/>
        <w:gridCol w:w="109"/>
        <w:gridCol w:w="109"/>
        <w:gridCol w:w="211"/>
        <w:gridCol w:w="616"/>
        <w:gridCol w:w="109"/>
        <w:gridCol w:w="150"/>
        <w:gridCol w:w="135"/>
        <w:gridCol w:w="136"/>
        <w:gridCol w:w="211"/>
        <w:gridCol w:w="616"/>
        <w:gridCol w:w="109"/>
        <w:gridCol w:w="109"/>
        <w:gridCol w:w="109"/>
        <w:gridCol w:w="109"/>
        <w:gridCol w:w="211"/>
        <w:gridCol w:w="616"/>
        <w:gridCol w:w="109"/>
        <w:gridCol w:w="150"/>
        <w:gridCol w:w="135"/>
        <w:gridCol w:w="136"/>
        <w:gridCol w:w="109"/>
        <w:gridCol w:w="109"/>
        <w:gridCol w:w="109"/>
        <w:gridCol w:w="211"/>
        <w:gridCol w:w="466"/>
        <w:gridCol w:w="109"/>
        <w:gridCol w:w="109"/>
        <w:gridCol w:w="109"/>
        <w:gridCol w:w="109"/>
        <w:gridCol w:w="211"/>
        <w:gridCol w:w="466"/>
        <w:gridCol w:w="109"/>
        <w:gridCol w:w="135"/>
        <w:gridCol w:w="135"/>
        <w:gridCol w:w="136"/>
        <w:gridCol w:w="211"/>
        <w:gridCol w:w="406"/>
        <w:gridCol w:w="109"/>
        <w:gridCol w:w="109"/>
        <w:gridCol w:w="109"/>
        <w:gridCol w:w="109"/>
        <w:gridCol w:w="211"/>
        <w:gridCol w:w="361"/>
        <w:gridCol w:w="109"/>
        <w:gridCol w:w="123"/>
        <w:gridCol w:w="123"/>
        <w:gridCol w:w="17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Anaphylm</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AQST-108</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br/>
              <w:t> inc /</w:t>
              <w:br/>
              <w:t>dec</w:t>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Libervant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18"/>
              </w:rPr>
              <w:t>inc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and Manufacturing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Research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Project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project expenses for Anaphylm decreased 24%, or $1,155 over the comparable period in 2024. Anaphylm clinical trial expenses decreased $1,740 over the comparable period in 2024, partially offset offset increases in Anaphylm product research expenses of $689 due to the continued advancement of the Anaphylm program. Total project expenses for AQST-108 decreased $404 over the comparable period in 2024 due to the clinical study and feasibility work for AQST-108 performed in the prior year period.</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R&amp;D personnel costs increased by 11%, or $347, for the six months ended June 30, 2025 as compared to the same period in 2024, due to additional headcount. R&amp;D share-based compensation increased by $260, or 54%, which was primarily related to the effect of RSU grants to R&amp;D personnel. </w:t>
      </w:r>
      <w:r>
        <w:rPr>
          <w:rFonts w:ascii="Times New Roman;serif" w:hAnsi="Times New Roman;serif"/>
          <w:b w:val="false"/>
          <w:color w:val="000000"/>
          <w:sz w:val="20"/>
          <w:shd w:fill="FFFFFF" w:val="clear"/>
        </w:rPr>
        <w:t>All other R&amp;D expenses include rent, utilities, maintenance and other expenses and fees.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44% or $9,732 for the six months ended June 30, 2025 as compared to the same period in the prior year. The increase primarily represents regulatory fees related to the Anaphylm PDUFA fee of approximately $4,310, higher commercial spending of approximately $4,170, higher regulatory and licensing fees of approximately $1,140 related to the acceleration of the recognition of the regulatory fee for Libervant due to the change in regulatory status, higher personnel costs of approximately $840, higher share-based compensation expenses of approximately $540, higher regulatory expenses related to Anaphylm of approximately $370, and higher consulting fees of approximately $320, partially offset by decreases in severance costs of approximately $1,100, lower insurance expenses of approximately $480, and lower legal fees of approximately $390.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$5,563 and $5,563 for the six months ended June 30, 2025 and 2024, respectively. These amounts represent interest incurred on the outstanding 13.5% Notes, and amortization of the debt discount and capitalized debt issuance costs.</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amortization of the discount on the royalty obligations was $2,871 and $2,716 for the six months ended June 30, 2025 and 2024, respectively. </w:t>
      </w:r>
      <w:r>
        <w:rPr>
          <w:rFonts w:ascii="Times New Roman;serif" w:hAnsi="Times New Roman;serif"/>
          <w:b w:val="false"/>
          <w:color w:val="000000"/>
          <w:sz w:val="20"/>
          <w:shd w:fill="FFFFFF" w:val="clear"/>
        </w:rPr>
        <w:t xml:space="preserve">These amounts are due to the accounting associated with the royalty obligations as part of the 13.5% Notes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Interest expense related to the sale of future revenue was $120 and $116 for the six months ended June 30, 2025 and 2024, respectively, and represents amortization of the issuance costs. These amounts are due to the accounting associated with the sale of future revenue related to KYNMOBI royalties sold to Marathon on November 3, 2020 and do not represent or imply a monetary obligation or cash outflow at any time during the life of the transaction. In June 2023, Sunovion announced that it had voluntarily withdrawn KYNMOBI from the U.S. and Canadian markets. Therefore, the Company likely will not receive any of the additional contingent payments under the Monetization agreement. As a result, the Company discontinued recording interest expense related to the sale of future revenue in the fourth quarter of 2022. See Note 16, </w:t>
      </w:r>
      <w:r>
        <w:rPr>
          <w:rFonts w:ascii="Times New Roman;serif" w:hAnsi="Times New Roman;serif"/>
          <w:b w:val="false"/>
          <w:i/>
          <w:color w:val="000000"/>
          <w:sz w:val="20"/>
        </w:rPr>
        <w:t>Sale of Future Revenue</w:t>
      </w:r>
      <w:r>
        <w:rPr>
          <w:color w:val="000000"/>
        </w:rPr>
        <w:t xml:space="preserve"> </w:t>
      </w:r>
      <w:r>
        <w:rPr>
          <w:rFonts w:ascii="Times New Roman;serif" w:hAnsi="Times New Roman;serif"/>
          <w:b w:val="false"/>
          <w:color w:val="000000"/>
          <w:sz w:val="20"/>
        </w:rPr>
        <w:t xml:space="preserve">to our Condensed Financial Statements for details.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was $2,809 and $1,724 for the six months ended June 30, 2025 and 2024, respectively. The increase primarily represents a ERTC credit received in April 2025. In June 2024, the Company recorded a gain of $1,500 on the termination of a license and supply agreement, which was partially offset by the adjustment of $1,200 to the remaining balance of the intangible asset due to the termination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$60,536 in cash and cash equivalents as of June 30, 2025. While our ability to execute our business objectives and achieve profitability over the longer term cannot be assured, our on-going business, existing cash and cash equivalents, expense management activities, potential asset sales or product outlicensing as well as access to the equity capital markets, including through the ATM facility, provide near term liquidity for us to fund our operating needs for at least the next twelve months as we continue to execute our business strategy.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our first ATM facility in September 2019, and since inception to June 30, 2025, we have sold 27,315,145 shares of Common Stock which has generated net cash proceeds of approximately $81,794, net of commissions and other transactions costs of $3,849. On April 3, 2024, we filed a new shelf registration statement on Form S-3 to register the offer and sale of up to $250,000 worth of shares of Common Stock, preferred stock, debt securities, warrants, rights and units ("Registration Statement No. 333-278498" or the "2024 Registration Statement"), that was effective by the SEC on April 23, 2024. Included as part of the 2024 Registration Statement was a $100,000 ATM facility, prospectus covering the offering, issuance and sale of Common Stock pursuant to the Amended Equity Distribution Agreement with Piper Sandler &amp; Co.</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there were no shares of Common Stock sold under the ATM facility. For the six months ended June 30, 2025, the Company sold 7,457,627 shares of Common Stock under the ATM facility which provided net proceeds of approximately $21,271 after deducting commissions and other transaction costs of $729. During the three months ended June 30, 2024, there were no shares of Common Stock sold under the ATM facility. For the six months ended June 30, 2024, the Company sold 4,557,220 shares under the ATM facility which provided net proceeds of approximately $11,855 after deducting commissions and other transaction costs of $530. The remaining authorized balance of the ATM facility was $78,000 as of June 30,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2022, we entered into the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The pre-funded warrants were fully exercised in 2022. In June 2023, 3,689,452 Common Stock warrants issued pursuant to the Securities Purchase Agreements were exercised with proceeds of approximately $3,542.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2023, we entered into the Letter Agreement with the Exercising Holder of 5,000,000 of the remaining Common Stock Warrants. Pursuant to the Letter Agreement, the Exercising Holder and Aquestive agreed that the Exercising Holder would exercise all of its Existing Warrants at the then current exercise price of the Existing Warrants. The Exercising Holder subsequently exercised the Existing Warrants, with Aquestive receiving gross proceeds of $4,800. We also issued to the Exercising Holder New Warrants to purchase up to an aggregate of 2,750,000 shares of Common Stock. The New Warrants are exercisable after February 2, 2024, expire on February 2, 2029 and are exercisable only for cash, unless the shares of Common Stock underlying the New Warrants are not registered in accordance with the terms of the Letter Agreement, in which case the New Warrants may also be exercised by means of a "cashless exercise". The New Warrants have an exercise price of $2.60 per share.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2023, we issued $45,000 aggregate principal amount of its 13.5% Notes due November 1, 2028. A portion of the net proceeds from that offering was used to repay all of the outstanding 12.5% Notes and to pay expenses relating to that offering, with the balance of the proceeds to be used for general corporate purposes. Interest on the 13.5% Notes accrues at a rate of 13.5% per annum and is payable quarterly in arrears on March 30, June 30, September 30 and December 30 of each year commencing on December 30, 2023. The 13.5% Notes are interest-only until June 30, 2026, whereupon on such date and each payment date thereafter we will also pay an installment of principal of the 13.5% Notes pursuant to a fixed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schedule, along with a portion of an Exit Fee determined as of the applicable date of prepayment, payment, acceleration, repurchase or redemption, as the case may be.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22, 2024, we completed the Underwritten Public Offering of 16,666,667 shares of its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totaling $894.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Six Months Ended June 30, 2025 and 2024</w:t>
      </w:r>
    </w:p>
    <w:tbl>
      <w:tblPr>
        <w:tblW w:w="6924" w:type="dxa"/>
        <w:jc w:val="left"/>
        <w:tblInd w:w="0" w:type="dxa"/>
        <w:tblLayout w:type="fixed"/>
        <w:tblCellMar>
          <w:top w:w="28" w:type="dxa"/>
          <w:left w:w="28" w:type="dxa"/>
          <w:bottom w:w="28" w:type="dxa"/>
          <w:right w:w="28" w:type="dxa"/>
        </w:tblCellMar>
      </w:tblPr>
      <w:tblGrid>
        <w:gridCol w:w="1564"/>
        <w:gridCol w:w="1377"/>
        <w:gridCol w:w="1379"/>
        <w:gridCol w:w="211"/>
        <w:gridCol w:w="796"/>
        <w:gridCol w:w="109"/>
        <w:gridCol w:w="109"/>
        <w:gridCol w:w="109"/>
        <w:gridCol w:w="109"/>
        <w:gridCol w:w="211"/>
        <w:gridCol w:w="79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cash used for operating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for operating activities for the six months ended June 30, 2025 increased by $13,924 compared to the same period in the prior year. The increase in cash used for operating activities was primarily related to the increase in net loss of $20,905, increases in trade and other receivables of $6,962, and increases in inventories of $1,884, partially offset by changes in deferred revenue of $11,067 which were mostly attributed to the recognition of deferred revenues due to the termination of license and supply agreements during the three months ended June 30, 2024, and changes in prepaid expenses of $1,233 and other current liabilities of $2,882.</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cash used for investing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six months ended June 30, 2025 increased by $178 compared to the same period in the prior year. The use of cash was related to capital expenditures.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cash provided by financing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2025 decreased by $62,906 compared to the same period in the prior year. The decrease was primarily related to no proceeds received from the underwritten public offering as compared to net proceeds of $71,974 received in the same period in the prior year, partially offset by higher ATM proceeds of $9,419 due to higher volumes and Common Stock prices as compared to the six months ended June 30, 2024.</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on-going business, existing cash and equivalents, expense management activities as well as access to the equity capital markets, including through our ATM facility, and potential asset sales or product outlicensing potentially provide near term funding opportunities for Aquestive, see “</w:t>
      </w:r>
      <w:r>
        <w:rPr>
          <w:rFonts w:ascii="Times New Roman;serif" w:hAnsi="Times New Roman;serif"/>
          <w:b w:val="false"/>
          <w:i/>
          <w:color w:val="000000"/>
          <w:sz w:val="20"/>
        </w:rPr>
        <w:t>Liquidity and Capital Resources</w:t>
      </w:r>
      <w:r>
        <w:rPr>
          <w:color w:val="000000"/>
        </w:rPr>
        <w:t>”</w:t>
      </w:r>
      <w:r>
        <w:rPr>
          <w:rFonts w:ascii="Times New Roman;serif" w:hAnsi="Times New Roman;serif"/>
          <w:b w:val="false"/>
          <w:color w:val="000000"/>
          <w:sz w:val="20"/>
        </w:rPr>
        <w:t xml:space="preserve">. On November 1, 2023, we issued $45,000 in aggregate principal amount of the 13.5% Notes due November 1, 2028. A portion of the net proceeds from the Offering were used to redeem all of the outstanding 12.5% Notes and to pay expenses relating to the Offering, with the balance of the proceeds to be used for general corporate purposes.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22, 2024, we completed the Underwritten Public Offering of 16,666,667 shares of its common stock at the public offering price of $4.50 per share. In addition, pursuant to the partial exercise of the underwriters' option, on April 22, 2024, we sold an additional 559,801 shares of Common Stock. Net proceeds from the Underwritten Public Offering, including the exercise of underwriters' option, were $72,868, after deducting underwriting discounts of $4,651. In addition to the underwriting discounts related to this offering, we incurred professional fees and other costs totaling $894.</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have used and intend to continue to use our existing cash and cash equivalents, primarily to advance the development and commercialization of our product pipeline, including Anaphylm™ (epinephrine) Sublingual Film for the treatment of severe life-threatening allergic reactions, including anaphylaxis, and the commercial expansion of Libervant</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(diazepam) Buccal Film for the treatment of ARS patients aged between two and five years until its U.S. market access was denied upon conversion by the FDA of its approval of Libervant for this patient population to a tentative approval, and for working capital, capital expenditures and general corporate purposes.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capital markets, asset monetization markets, regulatory approval process, and regulatory oversight and other factors. Key factors and assumptions inherent in our planned continued operations and anticipated growth include, without limitation, those related to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ability of our customers to pay, in a timely manner, for presently contracted and future anticipated orders for our manufactured products, including effects of generics and other competitive pressures as currently envisioned;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ability of our customers to pay, in a timely manner, for presently contracted and future anticipated orders for provided co-development and feasibility services, as well as regulatory support services for recently licensed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access to debt or equity markets if, and at the time, needed for any necessary future funding, including our ability to access funding through our ATM facility, should we choose to access this facility;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continuing review and appropriate adjustment of our cost structure consistent with our anticipated revenues and funding;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growth and market penetration of Sympazan, including anticipated patient and physician acceptance and our licensee’s ability to obtain adequate reimbursement and payment support from government agencies and other private medical insurers;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infrastructure and administrative costs at expected levels to support operations as an FDA and highly regulated public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manageable level of costs for ongoing efforts to protect our intellectual property rights and litigation matters in which we are involved;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continued compliance with all covenants under our 13.5% Notes, including our ability to comply with our debt service obligations as required thereunder;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absence of significant unforeseen cash requirements.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continue to manage business costs to appropriately reflect the anticipated general decline in Suboxone revenue, and other external resources or factors affecting our business including, if available, future equity financing, other future access to the capital markets or other potential available sources of liquidity. In doing so, we plan to continue to focus on the core drivers of value for our stockholders, including, more importantly, continued investments in our ongoing product development activities in support of Anaphylm and AQST-108. Until profitability is achieved, if at all, additional capital and/or other financing or funding will be required, which could be material, to develop and commercialize Anaphylm and AQST-108, if approved by the FDA, and to meet our other cash requirements, including debt service, specifically our 13.5% Notes. Even as such, we expect to incur losses and negative cash flows for the foreseeable future and, therefore, we expect to be dependent upon external financing and funding to achieve our operating plan.</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interest payments, have principal repayments related to our 13.5% Notes starting in June 2026 through the debt maturity date and royalty obligation payments projected to be made from the fourth quarter of 2024 to 2034, which are further discussed in Note 14,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xml:space="preserve">to our Condensed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engaging in plans to commercialize Anaphylm through our own sales force in the United States. We will need to raise significant funding to support these commercialization efforts. To the extent such additional financing through debt or debt-like instruments is required, we may have increased repayment obligations and potential limits on our flexibility to raise additional debt. 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product candidates, our existing level of debt which is secured by substantially all of our assets under the Indenture, and general financial market conditions, and there can be no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that we will continue to be successful in raising capital or that any such needed financing will be available on favorable or acceptable terms, if at all.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launch activities and R&amp;D programs and clinical and other product development activities, and otherwise significantly reducing our other spending and adjusting our operating plan, and we would need to seek to take other steps intended to improve our liquidity. We also may seek outlicensing opportunities for our proprietary products and product candidate programs that we currently plan to self-commercialize, including for Libervant and Anaphylm, or explore other potential liquidity options or strategic opportunities. Such strategic opportunities could include asset sales, outlicensing or other monetization opportunities of our proprietary products and product candidates, including Libervant and Anaphylm, although we cannot assure that any of these actions or opportunities would be available or available on acceptable terms. While an outlicensing of our proprietary products and product candidates, if approved by the FDA, could limit our exposure to the costs of commercialization of the product and provide a potential source of royalty and milestone revenues, the benefit from the potential of additional future value that could result from our independent commercialization of these products and product candidates, assuming a successful launch of our proprietary products and product candidates, if approved by the FDA, would likely be limited. In addition, in the event of any such asset sales or outlicensing transactions, the future growth of the Company would be dependent on continued successful development of our early stage product candidates and/or asset acquisitions or other strategic transactions for the Company. There is no assurance that any such outlicensing or other strategic opportunities will be available or available on reasonable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presented, we did not have any material off-balance sheet arrangements, nor do we have any relationships with unconsolidated entities or financial partnerships, such as entities often referred to as structured finance or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Item 10 of Regulation S-K promulgated by the SEC under the U.S. Securities Act of 1933, as amended, we are not required to provide the information required by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Management’s Evaluation of our 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2025, our disclosure controls and procedures were effective at a reasonable assurance level.</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For more information on Legal Proceedings, see Part I Item I. Financial Statements (Unaudited), Note 20, </w:t>
      </w:r>
      <w:r>
        <w:rPr>
          <w:rFonts w:ascii="Times New Roman;serif" w:hAnsi="Times New Roman;serif"/>
          <w:b w:val="false"/>
          <w:i/>
          <w:color w:val="000000"/>
          <w:sz w:val="20"/>
        </w:rPr>
        <w:t>Contingencies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review and consider the information regarding certain risks and uncertainties facing the Company that could have a material adverse effect on our business prospects, financial condition, results of operations, liquidity and available capital resources set forth in Part I, Item 1A of Aquestive’s 2024 Annual Report on Form 10-K and Part II, Item 1A of the Company's Quarterly Report on Form 10-Q for the three months ended March 31, 2025.</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We face risks associated with tariffs and other trade restrictions, which could have a material adverse impact on our results of operations and financial condition.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in January 2025, the new administration in the United States began to increase tariff rates on numerous products from a range of nations. The global trade environment remains highly dynamic and continues to evolve. Current U.S. trade policy includes the imposition of baseline, reciprocal, sectoral or country-specific tariffs on imports. Other countries have announced retaliatory actions or plans for retaliatory actions.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current U.S. administration has expressed an intent to impose tariffs on pharmaceutical imports, with the stated policy object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face significant risks from the existing tariffs imposed by the United States (such as those discussed above) and potential new tariffs as well as their secondary effects, including other countries' imposition of retaliatory tariffs and non-tariff barriers. Like all U.S. importers, our Company could pay more for foreign-sourced inputs, which could adversely affect our operating costs in the United States. Our results of operations and financial condition could be materially adversely affected due to the impact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2025,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2100"/>
                <wp:effectExtent l="0" t="0" r="0" b="0"/>
                <wp:wrapNone/>
                <wp:docPr id="51" name="Frame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0"/>
        <w:gridCol w:w="280"/>
        <w:gridCol w:w="281"/>
        <w:gridCol w:w="109"/>
        <w:gridCol w:w="109"/>
        <w:gridCol w:w="109"/>
        <w:gridCol w:w="2624"/>
        <w:gridCol w:w="2624"/>
        <w:gridCol w:w="3749"/>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q22025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as amended, under the Securities Exchange Act of 1934, as Adopted Pursuant to Section 302 of the Sarbanes-Oxley Act of 2002 (filed herewith).</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5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as amended, under the Securities Exchange Act of 1934, as Adopted Pursuant to Section 302 of the Sarbanes-Oxley Act of 2002 (filed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5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18 U.S.C. Section 1350, as Adopted Pursuant to Section 906 of the Sarbanes-Oxley Act of 2002 (furnished herewith).</w:t>
            </w:r>
          </w:p>
        </w:tc>
      </w:tr>
      <w:tr>
        <w:trPr/>
        <w:tc>
          <w:tcPr>
            <w:tcW w:w="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5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 (furnished herewith).</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document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095071428114d37aef7fa1bb353f0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 in the County of Somerset, State of New Jersey.</w:t>
      </w:r>
    </w:p>
    <w:tbl>
      <w:tblPr>
        <w:tblW w:w="524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br/>
              <w:t>(REGISTRANT)</w:t>
            </w:r>
          </w:p>
        </w:tc>
      </w:tr>
      <w:tr>
        <w:trPr/>
        <w:tc>
          <w:tcPr>
            <w:tcW w:w="2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 Ernest Toth, Jr.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0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of 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Daniel Barber,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of 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 Ernest Toth,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Aquestive Therapeutics,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bl>
      <w:tblPr>
        <w:tblW w:w="2862" w:type="dxa"/>
        <w:jc w:val="left"/>
        <w:tblInd w:w="0" w:type="dxa"/>
        <w:tblLayout w:type="fixed"/>
        <w:tblCellMar>
          <w:top w:w="28" w:type="dxa"/>
          <w:left w:w="28" w:type="dxa"/>
          <w:bottom w:w="28" w:type="dxa"/>
          <w:right w:w="28" w:type="dxa"/>
        </w:tblCellMar>
      </w:tblPr>
      <w:tblGrid>
        <w:gridCol w:w="124"/>
        <w:gridCol w:w="109"/>
        <w:gridCol w:w="109"/>
        <w:gridCol w:w="737"/>
        <w:gridCol w:w="737"/>
        <w:gridCol w:w="1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period-ended June 30, 2025, to which this Certification is attached as Exhibit 32.1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2025 </w:t>
      </w:r>
    </w:p>
    <w:p>
      <w:pPr>
        <w:pStyle w:val="TextBody"/>
        <w:bidi w:val="0"/>
        <w:spacing w:before="0" w:after="0"/>
        <w:jc w:val="left"/>
        <w:rPr/>
      </w:pPr>
      <w:r>
        <w:rPr/>
      </w:r>
    </w:p>
    <w:tbl>
      <w:tblPr>
        <w:tblW w:w="3581" w:type="dxa"/>
        <w:jc w:val="left"/>
        <w:tblInd w:w="0" w:type="dxa"/>
        <w:tblLayout w:type="fixed"/>
        <w:tblCellMar>
          <w:top w:w="28" w:type="dxa"/>
          <w:left w:w="28" w:type="dxa"/>
          <w:bottom w:w="28" w:type="dxa"/>
          <w:right w:w="28" w:type="dxa"/>
        </w:tblCellMar>
      </w:tblPr>
      <w:tblGrid>
        <w:gridCol w:w="124"/>
        <w:gridCol w:w="109"/>
        <w:gridCol w:w="109"/>
        <w:gridCol w:w="947"/>
        <w:gridCol w:w="947"/>
        <w:gridCol w:w="13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Barber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br/>
              <w:t>(Principal Executive Officer)</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period-ended June 30, 2025, to which this Certification is attached as Exhibit 32.2 (the “Quarterly Report”), fully complies with the requirements of Section 13(a) or Section 15(d) of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2025 </w:t>
      </w:r>
    </w:p>
    <w:p>
      <w:pPr>
        <w:pStyle w:val="TextBody"/>
        <w:bidi w:val="0"/>
        <w:spacing w:before="0" w:after="0"/>
        <w:jc w:val="left"/>
        <w:rPr/>
      </w:pPr>
      <w:r>
        <w:rPr/>
      </w:r>
    </w:p>
    <w:tbl>
      <w:tblPr>
        <w:tblW w:w="2861" w:type="dxa"/>
        <w:jc w:val="left"/>
        <w:tblInd w:w="0" w:type="dxa"/>
        <w:tblLayout w:type="fixed"/>
        <w:tblCellMar>
          <w:top w:w="28" w:type="dxa"/>
          <w:left w:w="28" w:type="dxa"/>
          <w:bottom w:w="28" w:type="dxa"/>
          <w:right w:w="28" w:type="dxa"/>
        </w:tblCellMar>
      </w:tblPr>
      <w:tblGrid>
        <w:gridCol w:w="124"/>
        <w:gridCol w:w="109"/>
        <w:gridCol w:w="109"/>
        <w:gridCol w:w="736"/>
        <w:gridCol w:w="736"/>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A.Ernest Toth, Jr.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br/>
              <w:t>(Principal Financial Officer)</w:t>
            </w:r>
          </w:p>
        </w:tc>
      </w:tr>
    </w:tbl>
    <w:p>
      <w:pPr>
        <w:pStyle w:val="TextBody"/>
        <w:bidi w:val="0"/>
        <w:spacing w:before="0" w:after="0"/>
        <w:jc w:val="left"/>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34055</Words>
  <Characters>188699</Characters>
  <CharactersWithSpaces>221220</CharactersWithSpaces>
  <Paragraphs>2726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