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290830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70" w:lineRule="exact"/>
        <w:rPr>
          <w:sz w:val="24"/>
          <w:szCs w:val="24"/>
          <w:color w:val="auto"/>
        </w:rPr>
      </w:pPr>
    </w:p>
    <w:p>
      <w:pPr>
        <w:ind w:left="680" w:hanging="661"/>
        <w:spacing w:after="0"/>
        <w:tabs>
          <w:tab w:leader="none" w:pos="680" w:val="left"/>
        </w:tabs>
        <w:numPr>
          <w:ilvl w:val="0"/>
          <w:numId w:val="1"/>
        </w:numPr>
        <w:rPr>
          <w:rFonts w:ascii="MS PGothic" w:cs="MS PGothic" w:eastAsia="MS PGothic" w:hAnsi="MS PGothic"/>
          <w:sz w:val="23"/>
          <w:szCs w:val="23"/>
          <w:color w:val="auto"/>
          <w:vertAlign w:val="superscript"/>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2025</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59" w:lineRule="exact"/>
        <w:rPr>
          <w:sz w:val="24"/>
          <w:szCs w:val="24"/>
          <w:color w:val="auto"/>
        </w:rPr>
      </w:pPr>
    </w:p>
    <w:p>
      <w:pPr>
        <w:ind w:left="680" w:hanging="661"/>
        <w:spacing w:after="0"/>
        <w:tabs>
          <w:tab w:leader="none" w:pos="680" w:val="left"/>
        </w:tabs>
        <w:numPr>
          <w:ilvl w:val="0"/>
          <w:numId w:val="2"/>
        </w:numPr>
        <w:rPr>
          <w:rFonts w:ascii="MS PGothic" w:cs="MS PGothic" w:eastAsia="MS PGothic" w:hAnsi="MS PGothic"/>
          <w:sz w:val="23"/>
          <w:szCs w:val="23"/>
          <w:color w:val="auto"/>
          <w:vertAlign w:val="superscript"/>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25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3"/>
          <w:szCs w:val="13"/>
          <w:b w:val="1"/>
          <w:bCs w:val="1"/>
          <w:color w:val="auto"/>
        </w:rPr>
        <w:t>For the transition period from _____ to _____</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 001-38599</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Aquestive Therapeutics,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294" w:lineRule="exact"/>
        <w:rPr>
          <w:sz w:val="24"/>
          <w:szCs w:val="24"/>
          <w:color w:val="auto"/>
        </w:rPr>
      </w:pPr>
    </w:p>
    <w:tbl>
      <w:tblPr>
        <w:tblLayout w:type="fixed"/>
        <w:tblInd w:w="0" w:type="dxa"/>
        <w:tblCellMar>
          <w:top w:w="0" w:type="dxa"/>
          <w:left w:w="0" w:type="dxa"/>
          <w:bottom w:w="0" w:type="dxa"/>
          <w:right w:w="0" w:type="dxa"/>
        </w:tblCellMar>
      </w:tblPr>
      <w:tr>
        <w:trPr>
          <w:trHeight w:val="167"/>
        </w:trPr>
        <w:tc>
          <w:tcPr>
            <w:tcW w:w="3840" w:type="dxa"/>
            <w:vAlign w:val="bottom"/>
          </w:tcPr>
          <w:p>
            <w:pPr>
              <w:jc w:val="center"/>
              <w:ind w:left="1536"/>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20" w:type="dxa"/>
            <w:vAlign w:val="bottom"/>
            <w:gridSpan w:val="2"/>
          </w:tcPr>
          <w:p>
            <w:pPr>
              <w:jc w:val="right"/>
              <w:ind w:right="2376"/>
              <w:spacing w:after="0"/>
              <w:rPr>
                <w:sz w:val="20"/>
                <w:szCs w:val="20"/>
                <w:color w:val="auto"/>
              </w:rPr>
            </w:pPr>
            <w:r>
              <w:rPr>
                <w:rFonts w:ascii="Times New Roman" w:cs="Times New Roman" w:eastAsia="Times New Roman" w:hAnsi="Times New Roman"/>
                <w:sz w:val="13"/>
                <w:szCs w:val="13"/>
                <w:b w:val="1"/>
                <w:bCs w:val="1"/>
                <w:color w:val="auto"/>
              </w:rPr>
              <w:t>82-3827296</w:t>
            </w:r>
          </w:p>
        </w:tc>
      </w:tr>
      <w:tr>
        <w:trPr>
          <w:trHeight w:val="170"/>
        </w:trPr>
        <w:tc>
          <w:tcPr>
            <w:tcW w:w="7060" w:type="dxa"/>
            <w:vAlign w:val="bottom"/>
            <w:gridSpan w:val="5"/>
          </w:tcPr>
          <w:p>
            <w:pPr>
              <w:jc w:val="center"/>
              <w:ind w:right="1620"/>
              <w:spacing w:after="0"/>
              <w:rPr>
                <w:sz w:val="20"/>
                <w:szCs w:val="20"/>
                <w:color w:val="auto"/>
              </w:rPr>
            </w:pPr>
            <w:r>
              <w:rPr>
                <w:rFonts w:ascii="Times New Roman" w:cs="Times New Roman" w:eastAsia="Times New Roman" w:hAnsi="Times New Roman"/>
                <w:sz w:val="13"/>
                <w:szCs w:val="13"/>
                <w:color w:val="auto"/>
                <w:w w:val="97"/>
              </w:rPr>
              <w:t>(State or Other Jurisdiction of Incorporation or Organization)</w:t>
            </w:r>
          </w:p>
        </w:tc>
        <w:tc>
          <w:tcPr>
            <w:tcW w:w="140" w:type="dxa"/>
            <w:vAlign w:val="bottom"/>
          </w:tcPr>
          <w:p>
            <w:pPr>
              <w:spacing w:after="0"/>
              <w:rPr>
                <w:sz w:val="14"/>
                <w:szCs w:val="14"/>
                <w:color w:val="auto"/>
              </w:rPr>
            </w:pPr>
          </w:p>
        </w:tc>
        <w:tc>
          <w:tcPr>
            <w:tcW w:w="4080" w:type="dxa"/>
            <w:vAlign w:val="bottom"/>
          </w:tcPr>
          <w:p>
            <w:pPr>
              <w:jc w:val="center"/>
              <w:ind w:right="1356"/>
              <w:spacing w:after="0"/>
              <w:rPr>
                <w:sz w:val="20"/>
                <w:szCs w:val="20"/>
                <w:color w:val="auto"/>
              </w:rPr>
            </w:pPr>
            <w:r>
              <w:rPr>
                <w:rFonts w:ascii="Times New Roman" w:cs="Times New Roman" w:eastAsia="Times New Roman" w:hAnsi="Times New Roman"/>
                <w:sz w:val="13"/>
                <w:szCs w:val="13"/>
                <w:color w:val="auto"/>
                <w:w w:val="97"/>
              </w:rPr>
              <w:t>(I.R.S. Employer Identification Number)</w:t>
            </w:r>
          </w:p>
        </w:tc>
      </w:tr>
      <w:tr>
        <w:trPr>
          <w:trHeight w:val="382"/>
        </w:trPr>
        <w:tc>
          <w:tcPr>
            <w:tcW w:w="3840" w:type="dxa"/>
            <w:vAlign w:val="bottom"/>
          </w:tcPr>
          <w:p>
            <w:pPr>
              <w:jc w:val="center"/>
              <w:ind w:left="1516"/>
              <w:spacing w:after="0"/>
              <w:rPr>
                <w:sz w:val="20"/>
                <w:szCs w:val="20"/>
                <w:color w:val="auto"/>
              </w:rPr>
            </w:pPr>
            <w:r>
              <w:rPr>
                <w:rFonts w:ascii="Times New Roman" w:cs="Times New Roman" w:eastAsia="Times New Roman" w:hAnsi="Times New Roman"/>
                <w:sz w:val="13"/>
                <w:szCs w:val="13"/>
                <w:b w:val="1"/>
                <w:bCs w:val="1"/>
                <w:color w:val="auto"/>
                <w:w w:val="96"/>
              </w:rPr>
              <w:t>30 Technology Drive, Warren, NJ</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20" w:type="dxa"/>
            <w:vAlign w:val="bottom"/>
            <w:gridSpan w:val="2"/>
          </w:tcPr>
          <w:p>
            <w:pPr>
              <w:jc w:val="right"/>
              <w:ind w:right="2536"/>
              <w:spacing w:after="0"/>
              <w:rPr>
                <w:sz w:val="20"/>
                <w:szCs w:val="20"/>
                <w:color w:val="auto"/>
              </w:rPr>
            </w:pPr>
            <w:r>
              <w:rPr>
                <w:rFonts w:ascii="Times New Roman" w:cs="Times New Roman" w:eastAsia="Times New Roman" w:hAnsi="Times New Roman"/>
                <w:sz w:val="13"/>
                <w:szCs w:val="13"/>
                <w:b w:val="1"/>
                <w:bCs w:val="1"/>
                <w:color w:val="auto"/>
              </w:rPr>
              <w:t>07059</w:t>
            </w:r>
          </w:p>
        </w:tc>
      </w:tr>
      <w:tr>
        <w:trPr>
          <w:trHeight w:val="170"/>
        </w:trPr>
        <w:tc>
          <w:tcPr>
            <w:tcW w:w="3840" w:type="dxa"/>
            <w:vAlign w:val="bottom"/>
          </w:tcPr>
          <w:p>
            <w:pPr>
              <w:jc w:val="center"/>
              <w:ind w:left="1536"/>
              <w:spacing w:after="0"/>
              <w:rPr>
                <w:sz w:val="20"/>
                <w:szCs w:val="20"/>
                <w:color w:val="auto"/>
              </w:rPr>
            </w:pPr>
            <w:r>
              <w:rPr>
                <w:rFonts w:ascii="Times New Roman" w:cs="Times New Roman" w:eastAsia="Times New Roman" w:hAnsi="Times New Roman"/>
                <w:sz w:val="13"/>
                <w:szCs w:val="13"/>
                <w:color w:val="auto"/>
                <w:w w:val="97"/>
              </w:rPr>
              <w:t>(Address of Principal Executive Offices)</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80" w:type="dxa"/>
            <w:vAlign w:val="bottom"/>
          </w:tcPr>
          <w:p>
            <w:pPr>
              <w:jc w:val="center"/>
              <w:ind w:right="1356"/>
              <w:spacing w:after="0"/>
              <w:rPr>
                <w:sz w:val="20"/>
                <w:szCs w:val="20"/>
                <w:color w:val="auto"/>
              </w:rPr>
            </w:pPr>
            <w:r>
              <w:rPr>
                <w:rFonts w:ascii="Times New Roman" w:cs="Times New Roman" w:eastAsia="Times New Roman" w:hAnsi="Times New Roman"/>
                <w:sz w:val="13"/>
                <w:szCs w:val="13"/>
                <w:color w:val="auto"/>
              </w:rPr>
              <w:t>(Zip Code)</w:t>
            </w:r>
          </w:p>
        </w:tc>
      </w:tr>
      <w:tr>
        <w:trPr>
          <w:trHeight w:val="407"/>
        </w:trPr>
        <w:tc>
          <w:tcPr>
            <w:tcW w:w="3840" w:type="dxa"/>
            <w:vAlign w:val="bottom"/>
          </w:tcPr>
          <w:p>
            <w:pPr>
              <w:spacing w:after="0"/>
              <w:rPr>
                <w:sz w:val="24"/>
                <w:szCs w:val="24"/>
                <w:color w:val="auto"/>
              </w:rPr>
            </w:pPr>
          </w:p>
        </w:tc>
        <w:tc>
          <w:tcPr>
            <w:tcW w:w="2920" w:type="dxa"/>
            <w:vAlign w:val="bottom"/>
            <w:gridSpan w:val="3"/>
          </w:tcPr>
          <w:p>
            <w:pPr>
              <w:jc w:val="center"/>
              <w:ind w:left="616"/>
              <w:spacing w:after="0"/>
              <w:rPr>
                <w:sz w:val="20"/>
                <w:szCs w:val="20"/>
                <w:color w:val="auto"/>
              </w:rPr>
            </w:pPr>
            <w:r>
              <w:rPr>
                <w:rFonts w:ascii="Times New Roman" w:cs="Times New Roman" w:eastAsia="Times New Roman" w:hAnsi="Times New Roman"/>
                <w:sz w:val="13"/>
                <w:szCs w:val="13"/>
                <w:color w:val="auto"/>
                <w:w w:val="98"/>
              </w:rPr>
              <w:t>(</w:t>
            </w:r>
            <w:r>
              <w:rPr>
                <w:rFonts w:ascii="Times New Roman" w:cs="Times New Roman" w:eastAsia="Times New Roman" w:hAnsi="Times New Roman"/>
                <w:sz w:val="13"/>
                <w:szCs w:val="13"/>
                <w:b w:val="1"/>
                <w:bCs w:val="1"/>
                <w:color w:val="auto"/>
                <w:w w:val="98"/>
              </w:rPr>
              <w:t>908) 941-1900</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165"/>
        </w:trPr>
        <w:tc>
          <w:tcPr>
            <w:tcW w:w="3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0" w:type="dxa"/>
            <w:vAlign w:val="bottom"/>
            <w:gridSpan w:val="3"/>
          </w:tcPr>
          <w:p>
            <w:pPr>
              <w:jc w:val="center"/>
              <w:ind w:left="96"/>
              <w:spacing w:after="0"/>
              <w:rPr>
                <w:sz w:val="20"/>
                <w:szCs w:val="20"/>
                <w:color w:val="auto"/>
              </w:rPr>
            </w:pPr>
            <w:r>
              <w:rPr>
                <w:rFonts w:ascii="Times New Roman" w:cs="Times New Roman" w:eastAsia="Times New Roman" w:hAnsi="Times New Roman"/>
                <w:sz w:val="13"/>
                <w:szCs w:val="13"/>
                <w:color w:val="auto"/>
                <w:w w:val="97"/>
              </w:rPr>
              <w:t>(Registrant’s Telephone Number, Including Area Code)</w:t>
            </w:r>
          </w:p>
        </w:tc>
        <w:tc>
          <w:tcPr>
            <w:tcW w:w="140" w:type="dxa"/>
            <w:vAlign w:val="bottom"/>
          </w:tcPr>
          <w:p>
            <w:pPr>
              <w:spacing w:after="0"/>
              <w:rPr>
                <w:sz w:val="14"/>
                <w:szCs w:val="14"/>
                <w:color w:val="auto"/>
              </w:rPr>
            </w:pPr>
          </w:p>
        </w:tc>
        <w:tc>
          <w:tcPr>
            <w:tcW w:w="4080" w:type="dxa"/>
            <w:vAlign w:val="bottom"/>
          </w:tcPr>
          <w:p>
            <w:pPr>
              <w:spacing w:after="0"/>
              <w:rPr>
                <w:sz w:val="14"/>
                <w:szCs w:val="14"/>
                <w:color w:val="auto"/>
              </w:rPr>
            </w:pPr>
          </w:p>
        </w:tc>
      </w:tr>
      <w:tr>
        <w:trPr>
          <w:trHeight w:val="350"/>
        </w:trPr>
        <w:tc>
          <w:tcPr>
            <w:tcW w:w="3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20" w:type="dxa"/>
            <w:vAlign w:val="bottom"/>
            <w:gridSpan w:val="5"/>
          </w:tcPr>
          <w:p>
            <w:pPr>
              <w:jc w:val="center"/>
              <w:ind w:right="3996"/>
              <w:spacing w:after="0"/>
              <w:rPr>
                <w:sz w:val="20"/>
                <w:szCs w:val="20"/>
                <w:color w:val="auto"/>
              </w:rPr>
            </w:pPr>
            <w:r>
              <w:rPr>
                <w:rFonts w:ascii="Times New Roman" w:cs="Times New Roman" w:eastAsia="Times New Roman" w:hAnsi="Times New Roman"/>
                <w:sz w:val="13"/>
                <w:szCs w:val="13"/>
                <w:b w:val="1"/>
                <w:bCs w:val="1"/>
                <w:color w:val="auto"/>
                <w:w w:val="97"/>
              </w:rPr>
              <w:t>Securities registered pursuant to Section 12(b) of the Act:</w:t>
            </w:r>
          </w:p>
        </w:tc>
      </w:tr>
      <w:tr>
        <w:trPr>
          <w:trHeight w:val="260"/>
        </w:trPr>
        <w:tc>
          <w:tcPr>
            <w:tcW w:w="3840" w:type="dxa"/>
            <w:vAlign w:val="bottom"/>
          </w:tcPr>
          <w:p>
            <w:pPr>
              <w:jc w:val="center"/>
              <w:ind w:left="176"/>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5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140" w:type="dxa"/>
            <w:vAlign w:val="bottom"/>
          </w:tcPr>
          <w:p>
            <w:pPr>
              <w:spacing w:after="0"/>
              <w:rPr>
                <w:sz w:val="22"/>
                <w:szCs w:val="22"/>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 on which registered</w:t>
            </w:r>
          </w:p>
        </w:tc>
      </w:tr>
      <w:tr>
        <w:trPr>
          <w:trHeight w:val="165"/>
        </w:trPr>
        <w:tc>
          <w:tcPr>
            <w:tcW w:w="3840" w:type="dxa"/>
            <w:vAlign w:val="bottom"/>
            <w:tcBorders>
              <w:top w:val="single" w:sz="8" w:color="auto"/>
            </w:tcBorders>
          </w:tcPr>
          <w:p>
            <w:pPr>
              <w:jc w:val="center"/>
              <w:ind w:left="176"/>
              <w:spacing w:after="0"/>
              <w:rPr>
                <w:sz w:val="20"/>
                <w:szCs w:val="20"/>
                <w:color w:val="auto"/>
              </w:rPr>
            </w:pPr>
            <w:r>
              <w:rPr>
                <w:rFonts w:ascii="Times New Roman" w:cs="Times New Roman" w:eastAsia="Times New Roman" w:hAnsi="Times New Roman"/>
                <w:sz w:val="13"/>
                <w:szCs w:val="13"/>
                <w:color w:val="auto"/>
                <w:w w:val="97"/>
              </w:rPr>
              <w:t>Common Stock, par value $0.001 per share</w:t>
            </w:r>
          </w:p>
        </w:tc>
        <w:tc>
          <w:tcPr>
            <w:tcW w:w="22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AQST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Nasdaq Global Market</w:t>
            </w:r>
          </w:p>
        </w:tc>
      </w:tr>
      <w:tr>
        <w:trPr>
          <w:trHeight w:val="414"/>
        </w:trPr>
        <w:tc>
          <w:tcPr>
            <w:tcW w:w="3840" w:type="dxa"/>
            <w:vAlign w:val="bottom"/>
          </w:tcPr>
          <w:p>
            <w:pPr>
              <w:spacing w:after="0"/>
              <w:rPr>
                <w:sz w:val="24"/>
                <w:szCs w:val="24"/>
                <w:color w:val="auto"/>
              </w:rPr>
            </w:pPr>
          </w:p>
        </w:tc>
        <w:tc>
          <w:tcPr>
            <w:tcW w:w="322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auto"/>
              </w:rPr>
              <w:t>Securities registered pursuant to Section 12(g) of the Act:</w:t>
            </w:r>
          </w:p>
        </w:tc>
        <w:tc>
          <w:tcPr>
            <w:tcW w:w="42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None</w:t>
            </w:r>
          </w:p>
        </w:tc>
      </w:tr>
    </w:tbl>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w:t>
      </w:r>
      <w:r>
        <w:rPr>
          <w:rFonts w:ascii="Arial" w:cs="Arial" w:eastAsia="Arial" w:hAnsi="Arial"/>
          <w:sz w:val="8"/>
          <w:szCs w:val="8"/>
          <w:b w:val="1"/>
          <w:bCs w:val="1"/>
          <w:color w:val="auto"/>
        </w:rPr>
        <w:t>£</w:t>
      </w:r>
      <w:r>
        <w:rPr>
          <w:rFonts w:ascii="Times New Roman" w:cs="Times New Roman" w:eastAsia="Times New Roman" w:hAnsi="Times New Roman"/>
          <w:sz w:val="13"/>
          <w:szCs w:val="13"/>
          <w:color w:val="auto"/>
        </w:rPr>
        <w:t xml:space="preserve"> Yes </w:t>
      </w:r>
      <w:r>
        <w:rPr>
          <w:rFonts w:ascii="Arial" w:cs="Arial" w:eastAsia="Arial" w:hAnsi="Arial"/>
          <w:sz w:val="8"/>
          <w:szCs w:val="8"/>
          <w:b w:val="1"/>
          <w:bCs w:val="1"/>
          <w:color w:val="auto"/>
        </w:rPr>
        <w:t>S</w:t>
      </w:r>
      <w:r>
        <w:rPr>
          <w:rFonts w:ascii="Times New Roman" w:cs="Times New Roman" w:eastAsia="Times New Roman" w:hAnsi="Times New Roman"/>
          <w:sz w:val="13"/>
          <w:szCs w:val="13"/>
          <w:color w:val="auto"/>
        </w:rPr>
        <w:t xml:space="preserve"> No</w:t>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w:t>
      </w:r>
      <w:r>
        <w:rPr>
          <w:rFonts w:ascii="Arial" w:cs="Arial" w:eastAsia="Arial" w:hAnsi="Arial"/>
          <w:sz w:val="8"/>
          <w:szCs w:val="8"/>
          <w:b w:val="1"/>
          <w:bCs w:val="1"/>
          <w:color w:val="auto"/>
        </w:rPr>
        <w:t>£</w:t>
      </w:r>
      <w:r>
        <w:rPr>
          <w:rFonts w:ascii="Times New Roman" w:cs="Times New Roman" w:eastAsia="Times New Roman" w:hAnsi="Times New Roman"/>
          <w:sz w:val="13"/>
          <w:szCs w:val="13"/>
          <w:color w:val="auto"/>
        </w:rPr>
        <w:t xml:space="preserve"> Yes </w:t>
      </w:r>
      <w:r>
        <w:rPr>
          <w:rFonts w:ascii="Arial" w:cs="Arial" w:eastAsia="Arial" w:hAnsi="Arial"/>
          <w:sz w:val="8"/>
          <w:szCs w:val="8"/>
          <w:b w:val="1"/>
          <w:bCs w:val="1"/>
          <w:color w:val="auto"/>
        </w:rPr>
        <w:t>S</w:t>
      </w:r>
      <w:r>
        <w:rPr>
          <w:rFonts w:ascii="Times New Roman" w:cs="Times New Roman" w:eastAsia="Times New Roman" w:hAnsi="Times New Roman"/>
          <w:sz w:val="13"/>
          <w:szCs w:val="13"/>
          <w:color w:val="auto"/>
        </w:rPr>
        <w:t xml:space="preserve"> No</w:t>
      </w:r>
    </w:p>
    <w:p>
      <w:pPr>
        <w:spacing w:after="0" w:line="201"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8"/>
          <w:szCs w:val="8"/>
          <w:b w:val="1"/>
          <w:bCs w:val="1"/>
          <w:color w:val="auto"/>
        </w:rPr>
        <w:t>S</w:t>
      </w:r>
      <w:r>
        <w:rPr>
          <w:rFonts w:ascii="Times New Roman" w:cs="Times New Roman" w:eastAsia="Times New Roman" w:hAnsi="Times New Roman"/>
          <w:sz w:val="13"/>
          <w:szCs w:val="13"/>
          <w:color w:val="auto"/>
        </w:rPr>
        <w:t xml:space="preserve"> Yes </w:t>
      </w:r>
      <w:r>
        <w:rPr>
          <w:rFonts w:ascii="Arial" w:cs="Arial" w:eastAsia="Arial" w:hAnsi="Arial"/>
          <w:sz w:val="8"/>
          <w:szCs w:val="8"/>
          <w:b w:val="1"/>
          <w:bCs w:val="1"/>
          <w:color w:val="auto"/>
        </w:rPr>
        <w:t>£</w:t>
      </w:r>
      <w:r>
        <w:rPr>
          <w:rFonts w:ascii="Times New Roman" w:cs="Times New Roman" w:eastAsia="Times New Roman" w:hAnsi="Times New Roman"/>
          <w:sz w:val="13"/>
          <w:szCs w:val="13"/>
          <w:color w:val="auto"/>
        </w:rPr>
        <w:t xml:space="preserve"> No</w:t>
      </w:r>
    </w:p>
    <w:p>
      <w:pPr>
        <w:spacing w:after="0" w:line="149"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w:t>
      </w:r>
      <w:r>
        <w:rPr>
          <w:rFonts w:ascii="Arial" w:cs="Arial" w:eastAsia="Arial" w:hAnsi="Arial"/>
          <w:sz w:val="8"/>
          <w:szCs w:val="8"/>
          <w:b w:val="1"/>
          <w:bCs w:val="1"/>
          <w:color w:val="auto"/>
        </w:rPr>
        <w:t>S</w:t>
      </w:r>
      <w:r>
        <w:rPr>
          <w:rFonts w:ascii="Times New Roman" w:cs="Times New Roman" w:eastAsia="Times New Roman" w:hAnsi="Times New Roman"/>
          <w:sz w:val="13"/>
          <w:szCs w:val="13"/>
          <w:color w:val="auto"/>
        </w:rPr>
        <w:t xml:space="preserve"> Yes </w:t>
      </w:r>
      <w:r>
        <w:rPr>
          <w:rFonts w:ascii="Arial" w:cs="Arial" w:eastAsia="Arial" w:hAnsi="Arial"/>
          <w:sz w:val="8"/>
          <w:szCs w:val="8"/>
          <w:b w:val="1"/>
          <w:bCs w:val="1"/>
          <w:color w:val="auto"/>
        </w:rPr>
        <w:t>£</w:t>
      </w:r>
      <w:r>
        <w:rPr>
          <w:rFonts w:ascii="Times New Roman" w:cs="Times New Roman" w:eastAsia="Times New Roman" w:hAnsi="Times New Roman"/>
          <w:sz w:val="13"/>
          <w:szCs w:val="13"/>
          <w:color w:val="auto"/>
        </w:rPr>
        <w:t xml:space="preserve"> No</w:t>
      </w:r>
    </w:p>
    <w:p>
      <w:pPr>
        <w:spacing w:after="0" w:line="159" w:lineRule="exact"/>
        <w:rPr>
          <w:sz w:val="24"/>
          <w:szCs w:val="24"/>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533400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1" w:right="31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180"/>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0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3280" w:type="dxa"/>
            <w:vAlign w:val="bottom"/>
          </w:tcPr>
          <w:p>
            <w:pPr>
              <w:ind w:left="1220"/>
              <w:spacing w:after="0"/>
              <w:rPr>
                <w:sz w:val="20"/>
                <w:szCs w:val="20"/>
                <w:color w:val="auto"/>
              </w:rPr>
            </w:pPr>
            <w:r>
              <w:rPr>
                <w:rFonts w:ascii="Times New Roman" w:cs="Times New Roman" w:eastAsia="Times New Roman" w:hAnsi="Times New Roman"/>
                <w:sz w:val="14"/>
                <w:szCs w:val="14"/>
                <w:color w:val="auto"/>
              </w:rPr>
              <w:t>Accelerated filer</w:t>
            </w:r>
          </w:p>
        </w:tc>
        <w:tc>
          <w:tcPr>
            <w:tcW w:w="6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0"/>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0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3280" w:type="dxa"/>
            <w:vAlign w:val="bottom"/>
          </w:tcPr>
          <w:p>
            <w:pPr>
              <w:ind w:left="12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7"/>
        </w:trPr>
        <w:tc>
          <w:tcPr>
            <w:tcW w:w="19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280" w:type="dxa"/>
            <w:vAlign w:val="bottom"/>
          </w:tcPr>
          <w:p>
            <w:pPr>
              <w:ind w:left="1220"/>
              <w:spacing w:after="0"/>
              <w:rPr>
                <w:sz w:val="20"/>
                <w:szCs w:val="20"/>
                <w:color w:val="auto"/>
              </w:rPr>
            </w:pPr>
            <w:r>
              <w:rPr>
                <w:rFonts w:ascii="Times New Roman" w:cs="Times New Roman" w:eastAsia="Times New Roman" w:hAnsi="Times New Roman"/>
                <w:sz w:val="14"/>
                <w:szCs w:val="14"/>
                <w:color w:val="auto"/>
              </w:rPr>
              <w:t>Emerging growth company</w:t>
            </w:r>
          </w:p>
        </w:tc>
        <w:tc>
          <w:tcPr>
            <w:tcW w:w="6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22" w:lineRule="exact"/>
        <w:rPr>
          <w:sz w:val="20"/>
          <w:szCs w:val="20"/>
          <w:color w:val="auto"/>
        </w:rPr>
      </w:pPr>
    </w:p>
    <w:p>
      <w:pPr>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to Section 13(a) of the Securities Act. </w:t>
      </w:r>
      <w:r>
        <w:rPr>
          <w:rFonts w:ascii="MS PGothic" w:cs="MS PGothic" w:eastAsia="MS PGothic" w:hAnsi="MS PGothic"/>
          <w:sz w:val="13"/>
          <w:szCs w:val="13"/>
          <w:color w:val="auto"/>
        </w:rPr>
        <w:t>☐</w:t>
      </w:r>
    </w:p>
    <w:p>
      <w:pPr>
        <w:spacing w:after="0" w:line="155" w:lineRule="exact"/>
        <w:rPr>
          <w:sz w:val="20"/>
          <w:szCs w:val="20"/>
          <w:color w:val="auto"/>
        </w:rPr>
      </w:pPr>
    </w:p>
    <w:p>
      <w:pPr>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65" w:lineRule="exact"/>
        <w:rPr>
          <w:sz w:val="20"/>
          <w:szCs w:val="20"/>
          <w:color w:val="auto"/>
        </w:rPr>
      </w:pPr>
    </w:p>
    <w:p>
      <w:pPr>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65" w:lineRule="exact"/>
        <w:rPr>
          <w:sz w:val="20"/>
          <w:szCs w:val="20"/>
          <w:color w:val="auto"/>
        </w:rPr>
      </w:pPr>
    </w:p>
    <w:p>
      <w:pPr>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Section 240.10D-1(b). </w:t>
      </w:r>
      <w:r>
        <w:rPr>
          <w:rFonts w:ascii="MS PGothic" w:cs="MS PGothic" w:eastAsia="MS PGothic" w:hAnsi="MS PGothic"/>
          <w:sz w:val="13"/>
          <w:szCs w:val="13"/>
          <w:color w:val="auto"/>
        </w:rPr>
        <w:t>☐</w:t>
      </w:r>
    </w:p>
    <w:p>
      <w:pPr>
        <w:spacing w:after="0" w:line="125"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Arial" w:cs="Arial" w:eastAsia="Arial" w:hAnsi="Arial"/>
          <w:sz w:val="8"/>
          <w:szCs w:val="8"/>
          <w:b w:val="1"/>
          <w:bCs w:val="1"/>
          <w:color w:val="auto"/>
        </w:rPr>
        <w:t>S</w:t>
      </w:r>
      <w:r>
        <w:rPr>
          <w:rFonts w:ascii="Times New Roman" w:cs="Times New Roman" w:eastAsia="Times New Roman" w:hAnsi="Times New Roman"/>
          <w:sz w:val="13"/>
          <w:szCs w:val="13"/>
          <w:color w:val="auto"/>
        </w:rPr>
        <w:t xml:space="preserve"> No</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As of June 30, 2025, the last business day of the registrant’s most recently completed second fiscal quarter, the aggregate market value of the common stock held by non-affiliates of the registrant was approximately $291.6 million based on the closing price of the registrant’s common stock on such date.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number of outstanding shares of the registrant’s par value $0.001 common stock as of the close of business on March 2, 2026 was 122,045,049.</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registrant intends to file a definitive proxy statement pursuant to Regulation 14A in connection with its 2026 Annual Meeting of Shareholders within 120 days of the end of its fiscal year ended December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Portions of such definitive proxy statement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548640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332105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820" w:type="dxa"/>
            <w:vAlign w:val="bottom"/>
          </w:tcPr>
          <w:p>
            <w:pPr>
              <w:spacing w:after="0"/>
              <w:rPr>
                <w:sz w:val="16"/>
                <w:szCs w:val="16"/>
                <w:color w:val="auto"/>
              </w:rPr>
            </w:pPr>
          </w:p>
        </w:tc>
        <w:tc>
          <w:tcPr>
            <w:tcW w:w="9360" w:type="dxa"/>
            <w:vAlign w:val="bottom"/>
          </w:tcPr>
          <w:p>
            <w:pPr>
              <w:ind w:left="430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468"/>
        </w:trPr>
        <w:tc>
          <w:tcPr>
            <w:tcW w:w="820" w:type="dxa"/>
            <w:vAlign w:val="bottom"/>
          </w:tcPr>
          <w:p>
            <w:pPr>
              <w:spacing w:after="0"/>
              <w:rPr>
                <w:sz w:val="24"/>
                <w:szCs w:val="24"/>
                <w:color w:val="auto"/>
              </w:rPr>
            </w:pPr>
          </w:p>
        </w:tc>
        <w:tc>
          <w:tcPr>
            <w:tcW w:w="9360" w:type="dxa"/>
            <w:vAlign w:val="bottom"/>
          </w:tcPr>
          <w:p>
            <w:pPr>
              <w:spacing w:after="0"/>
              <w:rPr>
                <w:sz w:val="24"/>
                <w:szCs w:val="24"/>
                <w:color w:val="auto"/>
              </w:rPr>
            </w:pPr>
          </w:p>
        </w:tc>
        <w:tc>
          <w:tcPr>
            <w:tcW w:w="110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169"/>
        </w:trPr>
        <w:tc>
          <w:tcPr>
            <w:tcW w:w="820" w:type="dxa"/>
            <w:vAlign w:val="bottom"/>
          </w:tcPr>
          <w:p>
            <w:pPr>
              <w:spacing w:after="0"/>
              <w:rPr>
                <w:sz w:val="14"/>
                <w:szCs w:val="14"/>
                <w:color w:val="auto"/>
              </w:rPr>
            </w:pPr>
          </w:p>
        </w:tc>
        <w:tc>
          <w:tcPr>
            <w:tcW w:w="9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Glossary of Terms, Abbreviations and Acronyms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202"/>
        </w:trPr>
        <w:tc>
          <w:tcPr>
            <w:tcW w:w="820" w:type="dxa"/>
            <w:vAlign w:val="bottom"/>
          </w:tcPr>
          <w:p>
            <w:pPr>
              <w:spacing w:after="0"/>
              <w:rPr>
                <w:sz w:val="17"/>
                <w:szCs w:val="17"/>
                <w:color w:val="auto"/>
              </w:rPr>
            </w:pPr>
          </w:p>
        </w:tc>
        <w:tc>
          <w:tcPr>
            <w:tcW w:w="9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149"/>
        </w:trPr>
        <w:tc>
          <w:tcPr>
            <w:tcW w:w="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PART I</w:t>
            </w:r>
          </w:p>
        </w:tc>
        <w:tc>
          <w:tcPr>
            <w:tcW w:w="93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left="409"/>
              <w:spacing w:after="0" w:line="149" w:lineRule="exact"/>
              <w:rPr>
                <w:sz w:val="20"/>
                <w:szCs w:val="20"/>
                <w:color w:val="auto"/>
              </w:rPr>
            </w:pPr>
            <w:r>
              <w:rPr>
                <w:rFonts w:ascii="Times New Roman" w:cs="Times New Roman" w:eastAsia="Times New Roman" w:hAnsi="Times New Roman"/>
                <w:sz w:val="14"/>
                <w:szCs w:val="14"/>
                <w:color w:val="0000FF"/>
                <w:w w:val="85"/>
              </w:rPr>
              <w:t>1</w:t>
            </w:r>
          </w:p>
        </w:tc>
        <w:tc>
          <w:tcPr>
            <w:tcW w:w="480" w:type="dxa"/>
            <w:vAlign w:val="bottom"/>
            <w:shd w:val="clear" w:color="auto" w:fill="CCEEFF"/>
          </w:tcPr>
          <w:p>
            <w:pPr>
              <w:spacing w:after="0"/>
              <w:rPr>
                <w:sz w:val="12"/>
                <w:szCs w:val="12"/>
                <w:color w:val="auto"/>
              </w:rPr>
            </w:pPr>
          </w:p>
        </w:tc>
      </w:tr>
      <w:tr>
        <w:trPr>
          <w:trHeight w:val="32"/>
        </w:trPr>
        <w:tc>
          <w:tcPr>
            <w:tcW w:w="820" w:type="dxa"/>
            <w:vAlign w:val="bottom"/>
            <w:shd w:val="clear" w:color="auto" w:fill="CCEEFF"/>
          </w:tcPr>
          <w:p>
            <w:pPr>
              <w:spacing w:after="0"/>
              <w:rPr>
                <w:sz w:val="2"/>
                <w:szCs w:val="2"/>
                <w:color w:val="auto"/>
              </w:rPr>
            </w:pPr>
          </w:p>
        </w:tc>
        <w:tc>
          <w:tcPr>
            <w:tcW w:w="9360" w:type="dxa"/>
            <w:vAlign w:val="bottom"/>
            <w:shd w:val="clear" w:color="auto" w:fill="CCEEFF"/>
          </w:tcPr>
          <w:p>
            <w:pPr>
              <w:spacing w:after="0"/>
              <w:rPr>
                <w:sz w:val="2"/>
                <w:szCs w:val="2"/>
                <w:color w:val="auto"/>
              </w:rPr>
            </w:pPr>
          </w:p>
        </w:tc>
        <w:tc>
          <w:tcPr>
            <w:tcW w:w="520" w:type="dxa"/>
            <w:vAlign w:val="bottom"/>
            <w:tcBorders>
              <w:right w:val="single" w:sz="8" w:color="CCEE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r>
      <w:tr>
        <w:trPr>
          <w:trHeight w:val="149"/>
        </w:trPr>
        <w:tc>
          <w:tcPr>
            <w:tcW w:w="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w:t>
            </w:r>
          </w:p>
        </w:tc>
        <w:tc>
          <w:tcPr>
            <w:tcW w:w="93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Business</w:t>
            </w:r>
          </w:p>
        </w:tc>
        <w:tc>
          <w:tcPr>
            <w:tcW w:w="620" w:type="dxa"/>
            <w:vAlign w:val="bottom"/>
            <w:gridSpan w:val="2"/>
          </w:tcPr>
          <w:p>
            <w:pPr>
              <w:jc w:val="center"/>
              <w:ind w:left="409"/>
              <w:spacing w:after="0" w:line="149" w:lineRule="exact"/>
              <w:rPr>
                <w:sz w:val="20"/>
                <w:szCs w:val="20"/>
                <w:color w:val="auto"/>
              </w:rPr>
            </w:pPr>
            <w:r>
              <w:rPr>
                <w:rFonts w:ascii="Times New Roman" w:cs="Times New Roman" w:eastAsia="Times New Roman" w:hAnsi="Times New Roman"/>
                <w:sz w:val="14"/>
                <w:szCs w:val="14"/>
                <w:color w:val="0000FF"/>
                <w:w w:val="85"/>
              </w:rPr>
              <w:t>3</w:t>
            </w:r>
          </w:p>
        </w:tc>
        <w:tc>
          <w:tcPr>
            <w:tcW w:w="480" w:type="dxa"/>
            <w:vAlign w:val="bottom"/>
          </w:tcPr>
          <w:p>
            <w:pPr>
              <w:spacing w:after="0"/>
              <w:rPr>
                <w:sz w:val="12"/>
                <w:szCs w:val="12"/>
                <w:color w:val="auto"/>
              </w:rPr>
            </w:pPr>
          </w:p>
        </w:tc>
      </w:tr>
      <w:tr>
        <w:trPr>
          <w:trHeight w:val="26"/>
        </w:trPr>
        <w:tc>
          <w:tcPr>
            <w:tcW w:w="820" w:type="dxa"/>
            <w:vAlign w:val="bottom"/>
          </w:tcPr>
          <w:p>
            <w:pPr>
              <w:spacing w:after="0"/>
              <w:rPr>
                <w:sz w:val="2"/>
                <w:szCs w:val="2"/>
                <w:color w:val="auto"/>
              </w:rPr>
            </w:pPr>
          </w:p>
        </w:tc>
        <w:tc>
          <w:tcPr>
            <w:tcW w:w="9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166"/>
        </w:trPr>
        <w:tc>
          <w:tcPr>
            <w:tcW w:w="82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1A.</w:t>
            </w:r>
          </w:p>
        </w:tc>
        <w:tc>
          <w:tcPr>
            <w:tcW w:w="9360" w:type="dxa"/>
            <w:vAlign w:val="bottom"/>
            <w:tcBorders>
              <w:bottom w:val="single" w:sz="8" w:color="CCEEFF"/>
            </w:tcBorders>
            <w:shd w:val="clear" w:color="auto" w:fill="CCEEFF"/>
          </w:tcPr>
          <w:p>
            <w:pPr>
              <w:ind w:left="260"/>
              <w:spacing w:after="0" w:line="155" w:lineRule="exact"/>
              <w:rPr>
                <w:sz w:val="20"/>
                <w:szCs w:val="20"/>
                <w:color w:val="auto"/>
              </w:rPr>
            </w:pPr>
            <w:r>
              <w:rPr>
                <w:rFonts w:ascii="Times New Roman" w:cs="Times New Roman" w:eastAsia="Times New Roman" w:hAnsi="Times New Roman"/>
                <w:sz w:val="14"/>
                <w:szCs w:val="14"/>
                <w:color w:val="auto"/>
              </w:rPr>
              <w:t>Risk Factors</w:t>
            </w:r>
          </w:p>
        </w:tc>
        <w:tc>
          <w:tcPr>
            <w:tcW w:w="520" w:type="dxa"/>
            <w:vAlign w:val="bottom"/>
            <w:tcBorders>
              <w:bottom w:val="single" w:sz="8" w:color="CCEEFF"/>
              <w:right w:val="single" w:sz="8" w:color="CCEEFF"/>
            </w:tcBorders>
            <w:shd w:val="clear" w:color="auto" w:fill="CCEEFF"/>
          </w:tcPr>
          <w:p>
            <w:pPr>
              <w:spacing w:after="0"/>
              <w:rPr>
                <w:sz w:val="14"/>
                <w:szCs w:val="14"/>
                <w:color w:val="auto"/>
              </w:rPr>
            </w:pPr>
          </w:p>
        </w:tc>
        <w:tc>
          <w:tcPr>
            <w:tcW w:w="100" w:type="dxa"/>
            <w:vAlign w:val="bottom"/>
            <w:tcBorders>
              <w:left w:val="single" w:sz="8" w:color="CCEEFF"/>
              <w:bottom w:val="single" w:sz="8" w:color="0000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w w:val="71"/>
              </w:rPr>
              <w:t>23</w:t>
            </w:r>
          </w:p>
        </w:tc>
        <w:tc>
          <w:tcPr>
            <w:tcW w:w="480" w:type="dxa"/>
            <w:vAlign w:val="bottom"/>
            <w:tcBorders>
              <w:bottom w:val="single" w:sz="8" w:color="CCEEFF"/>
            </w:tcBorders>
            <w:shd w:val="clear" w:color="auto" w:fill="CCEEFF"/>
          </w:tcPr>
          <w:p>
            <w:pPr>
              <w:spacing w:after="0"/>
              <w:rPr>
                <w:sz w:val="14"/>
                <w:szCs w:val="14"/>
                <w:color w:val="auto"/>
              </w:rPr>
            </w:pPr>
          </w:p>
        </w:tc>
      </w:tr>
      <w:tr>
        <w:trPr>
          <w:trHeight w:val="154"/>
        </w:trPr>
        <w:tc>
          <w:tcPr>
            <w:tcW w:w="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1B.</w:t>
            </w:r>
          </w:p>
        </w:tc>
        <w:tc>
          <w:tcPr>
            <w:tcW w:w="93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Unresolved Staff Comments</w:t>
            </w:r>
          </w:p>
        </w:tc>
        <w:tc>
          <w:tcPr>
            <w:tcW w:w="520" w:type="dxa"/>
            <w:vAlign w:val="bottom"/>
          </w:tcPr>
          <w:p>
            <w:pPr>
              <w:spacing w:after="0"/>
              <w:rPr>
                <w:sz w:val="13"/>
                <w:szCs w:val="13"/>
                <w:color w:val="auto"/>
              </w:rPr>
            </w:pPr>
          </w:p>
        </w:tc>
        <w:tc>
          <w:tcPr>
            <w:tcW w:w="100" w:type="dxa"/>
            <w:vAlign w:val="bottom"/>
            <w:tcBorders>
              <w:bottom w:val="single" w:sz="8" w:color="0000FF"/>
            </w:tcBorders>
          </w:tcPr>
          <w:p>
            <w:pPr>
              <w:jc w:val="center"/>
              <w:spacing w:after="0" w:line="149" w:lineRule="exact"/>
              <w:rPr>
                <w:sz w:val="20"/>
                <w:szCs w:val="20"/>
                <w:color w:val="auto"/>
              </w:rPr>
            </w:pPr>
            <w:r>
              <w:rPr>
                <w:rFonts w:ascii="Times New Roman" w:cs="Times New Roman" w:eastAsia="Times New Roman" w:hAnsi="Times New Roman"/>
                <w:sz w:val="14"/>
                <w:szCs w:val="14"/>
                <w:color w:val="0000FF"/>
                <w:w w:val="71"/>
              </w:rPr>
              <w:t>60</w:t>
            </w:r>
          </w:p>
        </w:tc>
        <w:tc>
          <w:tcPr>
            <w:tcW w:w="480" w:type="dxa"/>
            <w:vAlign w:val="bottom"/>
          </w:tcPr>
          <w:p>
            <w:pPr>
              <w:spacing w:after="0"/>
              <w:rPr>
                <w:sz w:val="13"/>
                <w:szCs w:val="13"/>
                <w:color w:val="auto"/>
              </w:rPr>
            </w:pPr>
          </w:p>
        </w:tc>
      </w:tr>
      <w:tr>
        <w:trPr>
          <w:trHeight w:val="166"/>
        </w:trPr>
        <w:tc>
          <w:tcPr>
            <w:tcW w:w="82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1C.</w:t>
            </w:r>
          </w:p>
        </w:tc>
        <w:tc>
          <w:tcPr>
            <w:tcW w:w="9360" w:type="dxa"/>
            <w:vAlign w:val="bottom"/>
            <w:tcBorders>
              <w:bottom w:val="single" w:sz="8" w:color="CCEEFF"/>
            </w:tcBorders>
            <w:shd w:val="clear" w:color="auto" w:fill="CCEEFF"/>
          </w:tcPr>
          <w:p>
            <w:pPr>
              <w:ind w:left="260"/>
              <w:spacing w:after="0" w:line="155" w:lineRule="exact"/>
              <w:rPr>
                <w:sz w:val="20"/>
                <w:szCs w:val="20"/>
                <w:color w:val="auto"/>
              </w:rPr>
            </w:pPr>
            <w:r>
              <w:rPr>
                <w:rFonts w:ascii="Times New Roman" w:cs="Times New Roman" w:eastAsia="Times New Roman" w:hAnsi="Times New Roman"/>
                <w:sz w:val="14"/>
                <w:szCs w:val="14"/>
                <w:color w:val="auto"/>
              </w:rPr>
              <w:t>Cybersecurity</w:t>
            </w:r>
          </w:p>
        </w:tc>
        <w:tc>
          <w:tcPr>
            <w:tcW w:w="520" w:type="dxa"/>
            <w:vAlign w:val="bottom"/>
            <w:tcBorders>
              <w:bottom w:val="single" w:sz="8" w:color="CCEEFF"/>
              <w:right w:val="single" w:sz="8" w:color="CCEEFF"/>
            </w:tcBorders>
            <w:shd w:val="clear" w:color="auto" w:fill="CCEEFF"/>
          </w:tcPr>
          <w:p>
            <w:pPr>
              <w:spacing w:after="0"/>
              <w:rPr>
                <w:sz w:val="14"/>
                <w:szCs w:val="14"/>
                <w:color w:val="auto"/>
              </w:rPr>
            </w:pPr>
          </w:p>
        </w:tc>
        <w:tc>
          <w:tcPr>
            <w:tcW w:w="100" w:type="dxa"/>
            <w:vAlign w:val="bottom"/>
            <w:tcBorders>
              <w:left w:val="single" w:sz="8" w:color="CCEEFF"/>
              <w:bottom w:val="single" w:sz="8" w:color="0000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w w:val="71"/>
              </w:rPr>
              <w:t>60</w:t>
            </w:r>
          </w:p>
        </w:tc>
        <w:tc>
          <w:tcPr>
            <w:tcW w:w="480" w:type="dxa"/>
            <w:vAlign w:val="bottom"/>
            <w:tcBorders>
              <w:bottom w:val="single" w:sz="8" w:color="CCEEFF"/>
            </w:tcBorders>
            <w:shd w:val="clear" w:color="auto" w:fill="CCEEFF"/>
          </w:tcPr>
          <w:p>
            <w:pPr>
              <w:spacing w:after="0"/>
              <w:rPr>
                <w:sz w:val="14"/>
                <w:szCs w:val="14"/>
                <w:color w:val="auto"/>
              </w:rPr>
            </w:pPr>
          </w:p>
        </w:tc>
      </w:tr>
      <w:tr>
        <w:trPr>
          <w:trHeight w:val="154"/>
        </w:trPr>
        <w:tc>
          <w:tcPr>
            <w:tcW w:w="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2.</w:t>
            </w:r>
          </w:p>
        </w:tc>
        <w:tc>
          <w:tcPr>
            <w:tcW w:w="93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Properties</w:t>
            </w:r>
          </w:p>
        </w:tc>
        <w:tc>
          <w:tcPr>
            <w:tcW w:w="520" w:type="dxa"/>
            <w:vAlign w:val="bottom"/>
          </w:tcPr>
          <w:p>
            <w:pPr>
              <w:spacing w:after="0"/>
              <w:rPr>
                <w:sz w:val="13"/>
                <w:szCs w:val="13"/>
                <w:color w:val="auto"/>
              </w:rPr>
            </w:pPr>
          </w:p>
        </w:tc>
        <w:tc>
          <w:tcPr>
            <w:tcW w:w="100" w:type="dxa"/>
            <w:vAlign w:val="bottom"/>
            <w:tcBorders>
              <w:bottom w:val="single" w:sz="8" w:color="0000FF"/>
            </w:tcBorders>
          </w:tcPr>
          <w:p>
            <w:pPr>
              <w:jc w:val="center"/>
              <w:spacing w:after="0" w:line="149" w:lineRule="exact"/>
              <w:rPr>
                <w:sz w:val="20"/>
                <w:szCs w:val="20"/>
                <w:color w:val="auto"/>
              </w:rPr>
            </w:pPr>
            <w:r>
              <w:rPr>
                <w:rFonts w:ascii="Times New Roman" w:cs="Times New Roman" w:eastAsia="Times New Roman" w:hAnsi="Times New Roman"/>
                <w:sz w:val="14"/>
                <w:szCs w:val="14"/>
                <w:color w:val="0000FF"/>
                <w:w w:val="71"/>
              </w:rPr>
              <w:t>61</w:t>
            </w:r>
          </w:p>
        </w:tc>
        <w:tc>
          <w:tcPr>
            <w:tcW w:w="480" w:type="dxa"/>
            <w:vAlign w:val="bottom"/>
          </w:tcPr>
          <w:p>
            <w:pPr>
              <w:spacing w:after="0"/>
              <w:rPr>
                <w:sz w:val="13"/>
                <w:szCs w:val="13"/>
                <w:color w:val="auto"/>
              </w:rPr>
            </w:pPr>
          </w:p>
        </w:tc>
      </w:tr>
      <w:tr>
        <w:trPr>
          <w:trHeight w:val="166"/>
        </w:trPr>
        <w:tc>
          <w:tcPr>
            <w:tcW w:w="82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3.</w:t>
            </w:r>
          </w:p>
        </w:tc>
        <w:tc>
          <w:tcPr>
            <w:tcW w:w="9360" w:type="dxa"/>
            <w:vAlign w:val="bottom"/>
            <w:tcBorders>
              <w:bottom w:val="single" w:sz="8" w:color="CCEEFF"/>
            </w:tcBorders>
            <w:shd w:val="clear" w:color="auto" w:fill="CCEEFF"/>
          </w:tcPr>
          <w:p>
            <w:pPr>
              <w:ind w:left="260"/>
              <w:spacing w:after="0" w:line="155" w:lineRule="exact"/>
              <w:rPr>
                <w:sz w:val="20"/>
                <w:szCs w:val="20"/>
                <w:color w:val="auto"/>
              </w:rPr>
            </w:pPr>
            <w:r>
              <w:rPr>
                <w:rFonts w:ascii="Times New Roman" w:cs="Times New Roman" w:eastAsia="Times New Roman" w:hAnsi="Times New Roman"/>
                <w:sz w:val="14"/>
                <w:szCs w:val="14"/>
                <w:color w:val="auto"/>
              </w:rPr>
              <w:t>Legal Proceedings</w:t>
            </w:r>
          </w:p>
        </w:tc>
        <w:tc>
          <w:tcPr>
            <w:tcW w:w="520" w:type="dxa"/>
            <w:vAlign w:val="bottom"/>
            <w:tcBorders>
              <w:bottom w:val="single" w:sz="8" w:color="CCEEFF"/>
              <w:right w:val="single" w:sz="8" w:color="CCEEFF"/>
            </w:tcBorders>
            <w:shd w:val="clear" w:color="auto" w:fill="CCEEFF"/>
          </w:tcPr>
          <w:p>
            <w:pPr>
              <w:spacing w:after="0"/>
              <w:rPr>
                <w:sz w:val="14"/>
                <w:szCs w:val="14"/>
                <w:color w:val="auto"/>
              </w:rPr>
            </w:pPr>
          </w:p>
        </w:tc>
        <w:tc>
          <w:tcPr>
            <w:tcW w:w="100" w:type="dxa"/>
            <w:vAlign w:val="bottom"/>
            <w:tcBorders>
              <w:left w:val="single" w:sz="8" w:color="CCEEFF"/>
              <w:bottom w:val="single" w:sz="8" w:color="0000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w w:val="71"/>
              </w:rPr>
              <w:t>61</w:t>
            </w:r>
          </w:p>
        </w:tc>
        <w:tc>
          <w:tcPr>
            <w:tcW w:w="480" w:type="dxa"/>
            <w:vAlign w:val="bottom"/>
            <w:tcBorders>
              <w:bottom w:val="single" w:sz="8" w:color="CCEEFF"/>
            </w:tcBorders>
            <w:shd w:val="clear" w:color="auto" w:fill="CCEEFF"/>
          </w:tcPr>
          <w:p>
            <w:pPr>
              <w:spacing w:after="0"/>
              <w:rPr>
                <w:sz w:val="14"/>
                <w:szCs w:val="14"/>
                <w:color w:val="auto"/>
              </w:rPr>
            </w:pPr>
          </w:p>
        </w:tc>
      </w:tr>
      <w:tr>
        <w:trPr>
          <w:trHeight w:val="154"/>
        </w:trPr>
        <w:tc>
          <w:tcPr>
            <w:tcW w:w="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4.</w:t>
            </w:r>
          </w:p>
        </w:tc>
        <w:tc>
          <w:tcPr>
            <w:tcW w:w="93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Mine Safety Disclosures</w:t>
            </w:r>
          </w:p>
        </w:tc>
        <w:tc>
          <w:tcPr>
            <w:tcW w:w="620" w:type="dxa"/>
            <w:vAlign w:val="bottom"/>
            <w:gridSpan w:val="2"/>
          </w:tcPr>
          <w:p>
            <w:pPr>
              <w:jc w:val="center"/>
              <w:ind w:left="409"/>
              <w:spacing w:after="0" w:line="149" w:lineRule="exact"/>
              <w:rPr>
                <w:sz w:val="20"/>
                <w:szCs w:val="20"/>
                <w:color w:val="auto"/>
              </w:rPr>
            </w:pPr>
            <w:r>
              <w:rPr>
                <w:rFonts w:ascii="Times New Roman" w:cs="Times New Roman" w:eastAsia="Times New Roman" w:hAnsi="Times New Roman"/>
                <w:sz w:val="14"/>
                <w:szCs w:val="14"/>
                <w:color w:val="0000FF"/>
                <w:w w:val="99"/>
              </w:rPr>
              <w:t>61</w:t>
            </w:r>
          </w:p>
        </w:tc>
        <w:tc>
          <w:tcPr>
            <w:tcW w:w="480" w:type="dxa"/>
            <w:vAlign w:val="bottom"/>
          </w:tcPr>
          <w:p>
            <w:pPr>
              <w:spacing w:after="0"/>
              <w:rPr>
                <w:sz w:val="13"/>
                <w:szCs w:val="13"/>
                <w:color w:val="auto"/>
              </w:rPr>
            </w:pPr>
          </w:p>
        </w:tc>
      </w:tr>
      <w:tr>
        <w:trPr>
          <w:trHeight w:val="186"/>
        </w:trPr>
        <w:tc>
          <w:tcPr>
            <w:tcW w:w="820" w:type="dxa"/>
            <w:vAlign w:val="bottom"/>
            <w:shd w:val="clear" w:color="auto" w:fill="CCEEFF"/>
          </w:tcPr>
          <w:p>
            <w:pPr>
              <w:spacing w:after="0"/>
              <w:rPr>
                <w:sz w:val="16"/>
                <w:szCs w:val="16"/>
                <w:color w:val="auto"/>
              </w:rPr>
            </w:pPr>
          </w:p>
        </w:tc>
        <w:tc>
          <w:tcPr>
            <w:tcW w:w="9360" w:type="dxa"/>
            <w:vAlign w:val="bottom"/>
            <w:shd w:val="clear" w:color="auto" w:fill="CCEEFF"/>
          </w:tcPr>
          <w:p>
            <w:pPr>
              <w:spacing w:after="0"/>
              <w:rPr>
                <w:sz w:val="16"/>
                <w:szCs w:val="16"/>
                <w:color w:val="auto"/>
              </w:rPr>
            </w:pPr>
          </w:p>
        </w:tc>
        <w:tc>
          <w:tcPr>
            <w:tcW w:w="52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0000FF"/>
              <w:lef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r>
      <w:tr>
        <w:trPr>
          <w:trHeight w:val="154"/>
        </w:trPr>
        <w:tc>
          <w:tcPr>
            <w:tcW w:w="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PART II</w:t>
            </w:r>
          </w:p>
        </w:tc>
        <w:tc>
          <w:tcPr>
            <w:tcW w:w="9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bottom w:val="single" w:sz="8" w:color="0000FF"/>
            </w:tcBorders>
          </w:tcPr>
          <w:p>
            <w:pPr>
              <w:jc w:val="center"/>
              <w:spacing w:after="0" w:line="149" w:lineRule="exact"/>
              <w:rPr>
                <w:sz w:val="20"/>
                <w:szCs w:val="20"/>
                <w:color w:val="auto"/>
              </w:rPr>
            </w:pPr>
            <w:r>
              <w:rPr>
                <w:rFonts w:ascii="Times New Roman" w:cs="Times New Roman" w:eastAsia="Times New Roman" w:hAnsi="Times New Roman"/>
                <w:sz w:val="14"/>
                <w:szCs w:val="14"/>
                <w:color w:val="0000FF"/>
                <w:w w:val="71"/>
              </w:rPr>
              <w:t>61</w:t>
            </w:r>
          </w:p>
        </w:tc>
        <w:tc>
          <w:tcPr>
            <w:tcW w:w="480" w:type="dxa"/>
            <w:vAlign w:val="bottom"/>
          </w:tcPr>
          <w:p>
            <w:pPr>
              <w:spacing w:after="0"/>
              <w:rPr>
                <w:sz w:val="13"/>
                <w:szCs w:val="13"/>
                <w:color w:val="auto"/>
              </w:rPr>
            </w:pPr>
          </w:p>
        </w:tc>
      </w:tr>
      <w:tr>
        <w:trPr>
          <w:trHeight w:val="166"/>
        </w:trPr>
        <w:tc>
          <w:tcPr>
            <w:tcW w:w="82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5.</w:t>
            </w:r>
          </w:p>
        </w:tc>
        <w:tc>
          <w:tcPr>
            <w:tcW w:w="9360" w:type="dxa"/>
            <w:vAlign w:val="bottom"/>
            <w:tcBorders>
              <w:bottom w:val="single" w:sz="8" w:color="CCEEFF"/>
            </w:tcBorders>
            <w:shd w:val="clear" w:color="auto" w:fill="CCEEFF"/>
          </w:tcPr>
          <w:p>
            <w:pPr>
              <w:ind w:left="260"/>
              <w:spacing w:after="0" w:line="155" w:lineRule="exact"/>
              <w:rPr>
                <w:sz w:val="20"/>
                <w:szCs w:val="20"/>
                <w:color w:val="auto"/>
              </w:rPr>
            </w:pPr>
            <w:r>
              <w:rPr>
                <w:rFonts w:ascii="Times New Roman" w:cs="Times New Roman" w:eastAsia="Times New Roman" w:hAnsi="Times New Roman"/>
                <w:sz w:val="14"/>
                <w:szCs w:val="14"/>
                <w:color w:val="auto"/>
              </w:rPr>
              <w:t>Market for Registrant’s Common Equity, Related Stockholder Matters and Issuer Purchases of Equity Securities</w:t>
            </w:r>
          </w:p>
        </w:tc>
        <w:tc>
          <w:tcPr>
            <w:tcW w:w="520" w:type="dxa"/>
            <w:vAlign w:val="bottom"/>
            <w:tcBorders>
              <w:bottom w:val="single" w:sz="8" w:color="CCEEFF"/>
              <w:right w:val="single" w:sz="8" w:color="CCEEFF"/>
            </w:tcBorders>
            <w:shd w:val="clear" w:color="auto" w:fill="CCEEFF"/>
          </w:tcPr>
          <w:p>
            <w:pPr>
              <w:spacing w:after="0"/>
              <w:rPr>
                <w:sz w:val="14"/>
                <w:szCs w:val="14"/>
                <w:color w:val="auto"/>
              </w:rPr>
            </w:pPr>
          </w:p>
        </w:tc>
        <w:tc>
          <w:tcPr>
            <w:tcW w:w="100" w:type="dxa"/>
            <w:vAlign w:val="bottom"/>
            <w:tcBorders>
              <w:left w:val="single" w:sz="8" w:color="CCEEFF"/>
              <w:bottom w:val="single" w:sz="8" w:color="0000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w w:val="71"/>
              </w:rPr>
              <w:t>61</w:t>
            </w:r>
          </w:p>
        </w:tc>
        <w:tc>
          <w:tcPr>
            <w:tcW w:w="480" w:type="dxa"/>
            <w:vAlign w:val="bottom"/>
            <w:tcBorders>
              <w:bottom w:val="single" w:sz="8" w:color="CCEEFF"/>
            </w:tcBorders>
            <w:shd w:val="clear" w:color="auto" w:fill="CCEEFF"/>
          </w:tcPr>
          <w:p>
            <w:pPr>
              <w:spacing w:after="0"/>
              <w:rPr>
                <w:sz w:val="14"/>
                <w:szCs w:val="14"/>
                <w:color w:val="auto"/>
              </w:rPr>
            </w:pPr>
          </w:p>
        </w:tc>
      </w:tr>
      <w:tr>
        <w:trPr>
          <w:trHeight w:val="154"/>
        </w:trPr>
        <w:tc>
          <w:tcPr>
            <w:tcW w:w="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6.</w:t>
            </w:r>
          </w:p>
        </w:tc>
        <w:tc>
          <w:tcPr>
            <w:tcW w:w="93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Reserved</w:t>
            </w:r>
          </w:p>
        </w:tc>
        <w:tc>
          <w:tcPr>
            <w:tcW w:w="520" w:type="dxa"/>
            <w:vAlign w:val="bottom"/>
          </w:tcPr>
          <w:p>
            <w:pPr>
              <w:spacing w:after="0"/>
              <w:rPr>
                <w:sz w:val="13"/>
                <w:szCs w:val="13"/>
                <w:color w:val="auto"/>
              </w:rPr>
            </w:pPr>
          </w:p>
        </w:tc>
        <w:tc>
          <w:tcPr>
            <w:tcW w:w="100" w:type="dxa"/>
            <w:vAlign w:val="bottom"/>
            <w:tcBorders>
              <w:bottom w:val="single" w:sz="8" w:color="0000FF"/>
            </w:tcBorders>
          </w:tcPr>
          <w:p>
            <w:pPr>
              <w:jc w:val="center"/>
              <w:spacing w:after="0" w:line="149" w:lineRule="exact"/>
              <w:rPr>
                <w:sz w:val="20"/>
                <w:szCs w:val="20"/>
                <w:color w:val="auto"/>
              </w:rPr>
            </w:pPr>
            <w:r>
              <w:rPr>
                <w:rFonts w:ascii="Times New Roman" w:cs="Times New Roman" w:eastAsia="Times New Roman" w:hAnsi="Times New Roman"/>
                <w:sz w:val="14"/>
                <w:szCs w:val="14"/>
                <w:color w:val="0000FF"/>
                <w:w w:val="71"/>
              </w:rPr>
              <w:t>61</w:t>
            </w:r>
          </w:p>
        </w:tc>
        <w:tc>
          <w:tcPr>
            <w:tcW w:w="480" w:type="dxa"/>
            <w:vAlign w:val="bottom"/>
          </w:tcPr>
          <w:p>
            <w:pPr>
              <w:spacing w:after="0"/>
              <w:rPr>
                <w:sz w:val="13"/>
                <w:szCs w:val="13"/>
                <w:color w:val="auto"/>
              </w:rPr>
            </w:pPr>
          </w:p>
        </w:tc>
      </w:tr>
      <w:tr>
        <w:trPr>
          <w:trHeight w:val="166"/>
        </w:trPr>
        <w:tc>
          <w:tcPr>
            <w:tcW w:w="82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7.</w:t>
            </w:r>
          </w:p>
        </w:tc>
        <w:tc>
          <w:tcPr>
            <w:tcW w:w="9360" w:type="dxa"/>
            <w:vAlign w:val="bottom"/>
            <w:tcBorders>
              <w:bottom w:val="single" w:sz="8" w:color="CCEEFF"/>
            </w:tcBorders>
            <w:shd w:val="clear" w:color="auto" w:fill="CCEEFF"/>
          </w:tcPr>
          <w:p>
            <w:pPr>
              <w:ind w:left="260"/>
              <w:spacing w:after="0" w:line="155" w:lineRule="exact"/>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w:t>
            </w:r>
          </w:p>
        </w:tc>
        <w:tc>
          <w:tcPr>
            <w:tcW w:w="520" w:type="dxa"/>
            <w:vAlign w:val="bottom"/>
            <w:tcBorders>
              <w:bottom w:val="single" w:sz="8" w:color="CCEEFF"/>
              <w:right w:val="single" w:sz="8" w:color="CCEEFF"/>
            </w:tcBorders>
            <w:shd w:val="clear" w:color="auto" w:fill="CCEEFF"/>
          </w:tcPr>
          <w:p>
            <w:pPr>
              <w:spacing w:after="0"/>
              <w:rPr>
                <w:sz w:val="14"/>
                <w:szCs w:val="14"/>
                <w:color w:val="auto"/>
              </w:rPr>
            </w:pPr>
          </w:p>
        </w:tc>
        <w:tc>
          <w:tcPr>
            <w:tcW w:w="100" w:type="dxa"/>
            <w:vAlign w:val="bottom"/>
            <w:tcBorders>
              <w:left w:val="single" w:sz="8" w:color="CCEEFF"/>
              <w:bottom w:val="single" w:sz="8" w:color="0000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w w:val="71"/>
              </w:rPr>
              <w:t>62</w:t>
            </w:r>
          </w:p>
        </w:tc>
        <w:tc>
          <w:tcPr>
            <w:tcW w:w="480" w:type="dxa"/>
            <w:vAlign w:val="bottom"/>
            <w:tcBorders>
              <w:bottom w:val="single" w:sz="8" w:color="CCEEFF"/>
            </w:tcBorders>
            <w:shd w:val="clear" w:color="auto" w:fill="CCEEFF"/>
          </w:tcPr>
          <w:p>
            <w:pPr>
              <w:spacing w:after="0"/>
              <w:rPr>
                <w:sz w:val="14"/>
                <w:szCs w:val="14"/>
                <w:color w:val="auto"/>
              </w:rPr>
            </w:pPr>
          </w:p>
        </w:tc>
      </w:tr>
      <w:tr>
        <w:trPr>
          <w:trHeight w:val="154"/>
        </w:trPr>
        <w:tc>
          <w:tcPr>
            <w:tcW w:w="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7A.</w:t>
            </w:r>
          </w:p>
        </w:tc>
        <w:tc>
          <w:tcPr>
            <w:tcW w:w="93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Quantitative and Qualitative Disclosures about Market Risk</w:t>
            </w:r>
          </w:p>
        </w:tc>
        <w:tc>
          <w:tcPr>
            <w:tcW w:w="520" w:type="dxa"/>
            <w:vAlign w:val="bottom"/>
          </w:tcPr>
          <w:p>
            <w:pPr>
              <w:spacing w:after="0"/>
              <w:rPr>
                <w:sz w:val="13"/>
                <w:szCs w:val="13"/>
                <w:color w:val="auto"/>
              </w:rPr>
            </w:pPr>
          </w:p>
        </w:tc>
        <w:tc>
          <w:tcPr>
            <w:tcW w:w="100" w:type="dxa"/>
            <w:vAlign w:val="bottom"/>
            <w:tcBorders>
              <w:bottom w:val="single" w:sz="8" w:color="0000FF"/>
            </w:tcBorders>
          </w:tcPr>
          <w:p>
            <w:pPr>
              <w:jc w:val="center"/>
              <w:spacing w:after="0" w:line="149" w:lineRule="exact"/>
              <w:rPr>
                <w:sz w:val="20"/>
                <w:szCs w:val="20"/>
                <w:color w:val="auto"/>
              </w:rPr>
            </w:pPr>
            <w:r>
              <w:rPr>
                <w:rFonts w:ascii="Times New Roman" w:cs="Times New Roman" w:eastAsia="Times New Roman" w:hAnsi="Times New Roman"/>
                <w:sz w:val="14"/>
                <w:szCs w:val="14"/>
                <w:color w:val="0000FF"/>
                <w:w w:val="71"/>
              </w:rPr>
              <w:t>73</w:t>
            </w:r>
          </w:p>
        </w:tc>
        <w:tc>
          <w:tcPr>
            <w:tcW w:w="480" w:type="dxa"/>
            <w:vAlign w:val="bottom"/>
          </w:tcPr>
          <w:p>
            <w:pPr>
              <w:spacing w:after="0"/>
              <w:rPr>
                <w:sz w:val="13"/>
                <w:szCs w:val="13"/>
                <w:color w:val="auto"/>
              </w:rPr>
            </w:pPr>
          </w:p>
        </w:tc>
      </w:tr>
      <w:tr>
        <w:trPr>
          <w:trHeight w:val="166"/>
        </w:trPr>
        <w:tc>
          <w:tcPr>
            <w:tcW w:w="82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8.</w:t>
            </w:r>
          </w:p>
        </w:tc>
        <w:tc>
          <w:tcPr>
            <w:tcW w:w="9360" w:type="dxa"/>
            <w:vAlign w:val="bottom"/>
            <w:tcBorders>
              <w:bottom w:val="single" w:sz="8" w:color="CCEEFF"/>
            </w:tcBorders>
            <w:shd w:val="clear" w:color="auto" w:fill="CCEEFF"/>
          </w:tcPr>
          <w:p>
            <w:pPr>
              <w:ind w:left="260"/>
              <w:spacing w:after="0" w:line="155" w:lineRule="exact"/>
              <w:rPr>
                <w:sz w:val="20"/>
                <w:szCs w:val="20"/>
                <w:color w:val="auto"/>
              </w:rPr>
            </w:pPr>
            <w:r>
              <w:rPr>
                <w:rFonts w:ascii="Times New Roman" w:cs="Times New Roman" w:eastAsia="Times New Roman" w:hAnsi="Times New Roman"/>
                <w:sz w:val="14"/>
                <w:szCs w:val="14"/>
                <w:color w:val="auto"/>
              </w:rPr>
              <w:t>Financial Statements and Supplementary Data</w:t>
            </w:r>
          </w:p>
        </w:tc>
        <w:tc>
          <w:tcPr>
            <w:tcW w:w="520" w:type="dxa"/>
            <w:vAlign w:val="bottom"/>
            <w:tcBorders>
              <w:bottom w:val="single" w:sz="8" w:color="CCEEFF"/>
              <w:right w:val="single" w:sz="8" w:color="CCEEFF"/>
            </w:tcBorders>
            <w:shd w:val="clear" w:color="auto" w:fill="CCEEFF"/>
          </w:tcPr>
          <w:p>
            <w:pPr>
              <w:spacing w:after="0"/>
              <w:rPr>
                <w:sz w:val="14"/>
                <w:szCs w:val="14"/>
                <w:color w:val="auto"/>
              </w:rPr>
            </w:pPr>
          </w:p>
        </w:tc>
        <w:tc>
          <w:tcPr>
            <w:tcW w:w="100" w:type="dxa"/>
            <w:vAlign w:val="bottom"/>
            <w:tcBorders>
              <w:left w:val="single" w:sz="8" w:color="CCEEFF"/>
              <w:bottom w:val="single" w:sz="8" w:color="0000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w w:val="71"/>
              </w:rPr>
              <w:t>73</w:t>
            </w:r>
          </w:p>
        </w:tc>
        <w:tc>
          <w:tcPr>
            <w:tcW w:w="480" w:type="dxa"/>
            <w:vAlign w:val="bottom"/>
            <w:tcBorders>
              <w:bottom w:val="single" w:sz="8" w:color="CCEEFF"/>
            </w:tcBorders>
            <w:shd w:val="clear" w:color="auto" w:fill="CCEEFF"/>
          </w:tcPr>
          <w:p>
            <w:pPr>
              <w:spacing w:after="0"/>
              <w:rPr>
                <w:sz w:val="14"/>
                <w:szCs w:val="14"/>
                <w:color w:val="auto"/>
              </w:rPr>
            </w:pPr>
          </w:p>
        </w:tc>
      </w:tr>
      <w:tr>
        <w:trPr>
          <w:trHeight w:val="154"/>
        </w:trPr>
        <w:tc>
          <w:tcPr>
            <w:tcW w:w="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9.</w:t>
            </w:r>
          </w:p>
        </w:tc>
        <w:tc>
          <w:tcPr>
            <w:tcW w:w="93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Changes in and Disagreements with Accountants on Accounting and Financial Disclosure</w:t>
            </w:r>
          </w:p>
        </w:tc>
        <w:tc>
          <w:tcPr>
            <w:tcW w:w="520" w:type="dxa"/>
            <w:vAlign w:val="bottom"/>
          </w:tcPr>
          <w:p>
            <w:pPr>
              <w:spacing w:after="0"/>
              <w:rPr>
                <w:sz w:val="13"/>
                <w:szCs w:val="13"/>
                <w:color w:val="auto"/>
              </w:rPr>
            </w:pPr>
          </w:p>
        </w:tc>
        <w:tc>
          <w:tcPr>
            <w:tcW w:w="100" w:type="dxa"/>
            <w:vAlign w:val="bottom"/>
            <w:tcBorders>
              <w:bottom w:val="single" w:sz="8" w:color="0000FF"/>
            </w:tcBorders>
          </w:tcPr>
          <w:p>
            <w:pPr>
              <w:jc w:val="center"/>
              <w:spacing w:after="0" w:line="149" w:lineRule="exact"/>
              <w:rPr>
                <w:sz w:val="20"/>
                <w:szCs w:val="20"/>
                <w:color w:val="auto"/>
              </w:rPr>
            </w:pPr>
            <w:r>
              <w:rPr>
                <w:rFonts w:ascii="Times New Roman" w:cs="Times New Roman" w:eastAsia="Times New Roman" w:hAnsi="Times New Roman"/>
                <w:sz w:val="14"/>
                <w:szCs w:val="14"/>
                <w:color w:val="0000FF"/>
                <w:w w:val="71"/>
              </w:rPr>
              <w:t>73</w:t>
            </w:r>
          </w:p>
        </w:tc>
        <w:tc>
          <w:tcPr>
            <w:tcW w:w="480" w:type="dxa"/>
            <w:vAlign w:val="bottom"/>
          </w:tcPr>
          <w:p>
            <w:pPr>
              <w:spacing w:after="0"/>
              <w:rPr>
                <w:sz w:val="13"/>
                <w:szCs w:val="13"/>
                <w:color w:val="auto"/>
              </w:rPr>
            </w:pPr>
          </w:p>
        </w:tc>
      </w:tr>
      <w:tr>
        <w:trPr>
          <w:trHeight w:val="166"/>
        </w:trPr>
        <w:tc>
          <w:tcPr>
            <w:tcW w:w="82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9A.</w:t>
            </w:r>
          </w:p>
        </w:tc>
        <w:tc>
          <w:tcPr>
            <w:tcW w:w="9360" w:type="dxa"/>
            <w:vAlign w:val="bottom"/>
            <w:tcBorders>
              <w:bottom w:val="single" w:sz="8" w:color="CCEEFF"/>
            </w:tcBorders>
            <w:shd w:val="clear" w:color="auto" w:fill="CCEEFF"/>
          </w:tcPr>
          <w:p>
            <w:pPr>
              <w:ind w:left="260"/>
              <w:spacing w:after="0" w:line="155" w:lineRule="exact"/>
              <w:rPr>
                <w:sz w:val="20"/>
                <w:szCs w:val="20"/>
                <w:color w:val="auto"/>
              </w:rPr>
            </w:pPr>
            <w:r>
              <w:rPr>
                <w:rFonts w:ascii="Times New Roman" w:cs="Times New Roman" w:eastAsia="Times New Roman" w:hAnsi="Times New Roman"/>
                <w:sz w:val="14"/>
                <w:szCs w:val="14"/>
                <w:color w:val="auto"/>
              </w:rPr>
              <w:t>Controls and Procedures</w:t>
            </w:r>
          </w:p>
        </w:tc>
        <w:tc>
          <w:tcPr>
            <w:tcW w:w="520" w:type="dxa"/>
            <w:vAlign w:val="bottom"/>
            <w:tcBorders>
              <w:bottom w:val="single" w:sz="8" w:color="CCEEFF"/>
              <w:right w:val="single" w:sz="8" w:color="CCEEFF"/>
            </w:tcBorders>
            <w:shd w:val="clear" w:color="auto" w:fill="CCEEFF"/>
          </w:tcPr>
          <w:p>
            <w:pPr>
              <w:spacing w:after="0"/>
              <w:rPr>
                <w:sz w:val="14"/>
                <w:szCs w:val="14"/>
                <w:color w:val="auto"/>
              </w:rPr>
            </w:pPr>
          </w:p>
        </w:tc>
        <w:tc>
          <w:tcPr>
            <w:tcW w:w="100" w:type="dxa"/>
            <w:vAlign w:val="bottom"/>
            <w:tcBorders>
              <w:left w:val="single" w:sz="8" w:color="CCEEFF"/>
              <w:bottom w:val="single" w:sz="8" w:color="0000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w w:val="71"/>
              </w:rPr>
              <w:t>73</w:t>
            </w:r>
          </w:p>
        </w:tc>
        <w:tc>
          <w:tcPr>
            <w:tcW w:w="480" w:type="dxa"/>
            <w:vAlign w:val="bottom"/>
            <w:tcBorders>
              <w:bottom w:val="single" w:sz="8" w:color="CCEEFF"/>
            </w:tcBorders>
            <w:shd w:val="clear" w:color="auto" w:fill="CCEEFF"/>
          </w:tcPr>
          <w:p>
            <w:pPr>
              <w:spacing w:after="0"/>
              <w:rPr>
                <w:sz w:val="14"/>
                <w:szCs w:val="14"/>
                <w:color w:val="auto"/>
              </w:rPr>
            </w:pPr>
          </w:p>
        </w:tc>
      </w:tr>
      <w:tr>
        <w:trPr>
          <w:trHeight w:val="154"/>
        </w:trPr>
        <w:tc>
          <w:tcPr>
            <w:tcW w:w="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9B.</w:t>
            </w:r>
          </w:p>
        </w:tc>
        <w:tc>
          <w:tcPr>
            <w:tcW w:w="93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Other Information</w:t>
            </w:r>
          </w:p>
        </w:tc>
        <w:tc>
          <w:tcPr>
            <w:tcW w:w="520" w:type="dxa"/>
            <w:vAlign w:val="bottom"/>
          </w:tcPr>
          <w:p>
            <w:pPr>
              <w:spacing w:after="0"/>
              <w:rPr>
                <w:sz w:val="13"/>
                <w:szCs w:val="13"/>
                <w:color w:val="auto"/>
              </w:rPr>
            </w:pPr>
          </w:p>
        </w:tc>
        <w:tc>
          <w:tcPr>
            <w:tcW w:w="100" w:type="dxa"/>
            <w:vAlign w:val="bottom"/>
            <w:tcBorders>
              <w:bottom w:val="single" w:sz="8" w:color="0000FF"/>
            </w:tcBorders>
          </w:tcPr>
          <w:p>
            <w:pPr>
              <w:jc w:val="center"/>
              <w:spacing w:after="0" w:line="149" w:lineRule="exact"/>
              <w:rPr>
                <w:sz w:val="20"/>
                <w:szCs w:val="20"/>
                <w:color w:val="auto"/>
              </w:rPr>
            </w:pPr>
            <w:r>
              <w:rPr>
                <w:rFonts w:ascii="Times New Roman" w:cs="Times New Roman" w:eastAsia="Times New Roman" w:hAnsi="Times New Roman"/>
                <w:sz w:val="14"/>
                <w:szCs w:val="14"/>
                <w:color w:val="0000FF"/>
                <w:w w:val="71"/>
              </w:rPr>
              <w:t>74</w:t>
            </w:r>
          </w:p>
        </w:tc>
        <w:tc>
          <w:tcPr>
            <w:tcW w:w="480" w:type="dxa"/>
            <w:vAlign w:val="bottom"/>
          </w:tcPr>
          <w:p>
            <w:pPr>
              <w:spacing w:after="0"/>
              <w:rPr>
                <w:sz w:val="13"/>
                <w:szCs w:val="13"/>
                <w:color w:val="auto"/>
              </w:rPr>
            </w:pPr>
          </w:p>
        </w:tc>
      </w:tr>
      <w:tr>
        <w:trPr>
          <w:trHeight w:val="166"/>
        </w:trPr>
        <w:tc>
          <w:tcPr>
            <w:tcW w:w="82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9C.</w:t>
            </w:r>
          </w:p>
        </w:tc>
        <w:tc>
          <w:tcPr>
            <w:tcW w:w="9360" w:type="dxa"/>
            <w:vAlign w:val="bottom"/>
            <w:shd w:val="clear" w:color="auto" w:fill="CCEEFF"/>
          </w:tcPr>
          <w:p>
            <w:pPr>
              <w:ind w:left="260"/>
              <w:spacing w:after="0" w:line="155" w:lineRule="exact"/>
              <w:rPr>
                <w:sz w:val="20"/>
                <w:szCs w:val="20"/>
                <w:color w:val="auto"/>
              </w:rPr>
            </w:pPr>
            <w:r>
              <w:rPr>
                <w:rFonts w:ascii="Times New Roman" w:cs="Times New Roman" w:eastAsia="Times New Roman" w:hAnsi="Times New Roman"/>
                <w:sz w:val="14"/>
                <w:szCs w:val="14"/>
                <w:color w:val="auto"/>
              </w:rPr>
              <w:t>Disclosure Regarding Foreign Jurisdictions That Prevent Inspections</w:t>
            </w:r>
          </w:p>
        </w:tc>
        <w:tc>
          <w:tcPr>
            <w:tcW w:w="620" w:type="dxa"/>
            <w:vAlign w:val="bottom"/>
            <w:gridSpan w:val="2"/>
            <w:shd w:val="clear" w:color="auto" w:fill="CCEEFF"/>
          </w:tcPr>
          <w:p>
            <w:pPr>
              <w:jc w:val="center"/>
              <w:ind w:left="409"/>
              <w:spacing w:after="0" w:line="155" w:lineRule="exact"/>
              <w:rPr>
                <w:sz w:val="20"/>
                <w:szCs w:val="20"/>
                <w:color w:val="auto"/>
              </w:rPr>
            </w:pPr>
            <w:r>
              <w:rPr>
                <w:rFonts w:ascii="Times New Roman" w:cs="Times New Roman" w:eastAsia="Times New Roman" w:hAnsi="Times New Roman"/>
                <w:sz w:val="14"/>
                <w:szCs w:val="14"/>
                <w:color w:val="0000FF"/>
                <w:w w:val="99"/>
              </w:rPr>
              <w:t>74</w:t>
            </w:r>
          </w:p>
        </w:tc>
        <w:tc>
          <w:tcPr>
            <w:tcW w:w="480" w:type="dxa"/>
            <w:vAlign w:val="bottom"/>
            <w:shd w:val="clear" w:color="auto" w:fill="CCEEFF"/>
          </w:tcPr>
          <w:p>
            <w:pPr>
              <w:spacing w:after="0"/>
              <w:rPr>
                <w:sz w:val="14"/>
                <w:szCs w:val="14"/>
                <w:color w:val="auto"/>
              </w:rPr>
            </w:pPr>
          </w:p>
        </w:tc>
      </w:tr>
      <w:tr>
        <w:trPr>
          <w:trHeight w:val="180"/>
        </w:trPr>
        <w:tc>
          <w:tcPr>
            <w:tcW w:w="820" w:type="dxa"/>
            <w:vAlign w:val="bottom"/>
            <w:tcBorders>
              <w:top w:val="single" w:sz="8" w:color="CCEEFF"/>
            </w:tcBorders>
          </w:tcPr>
          <w:p>
            <w:pPr>
              <w:spacing w:after="0"/>
              <w:rPr>
                <w:sz w:val="15"/>
                <w:szCs w:val="15"/>
                <w:color w:val="auto"/>
              </w:rPr>
            </w:pPr>
          </w:p>
        </w:tc>
        <w:tc>
          <w:tcPr>
            <w:tcW w:w="936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r>
      <w:tr>
        <w:trPr>
          <w:trHeight w:val="160"/>
        </w:trPr>
        <w:tc>
          <w:tcPr>
            <w:tcW w:w="82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PART III</w:t>
            </w:r>
          </w:p>
        </w:tc>
        <w:tc>
          <w:tcPr>
            <w:tcW w:w="93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right w:val="single" w:sz="8" w:color="CCEEFF"/>
            </w:tcBorders>
            <w:shd w:val="clear" w:color="auto" w:fill="CCEEFF"/>
          </w:tcPr>
          <w:p>
            <w:pPr>
              <w:spacing w:after="0"/>
              <w:rPr>
                <w:sz w:val="13"/>
                <w:szCs w:val="13"/>
                <w:color w:val="auto"/>
              </w:rPr>
            </w:pPr>
          </w:p>
        </w:tc>
        <w:tc>
          <w:tcPr>
            <w:tcW w:w="100" w:type="dxa"/>
            <w:vAlign w:val="bottom"/>
            <w:tcBorders>
              <w:left w:val="single" w:sz="8" w:color="CCEEFF"/>
              <w:bottom w:val="single" w:sz="8" w:color="0000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0000FF"/>
                <w:w w:val="71"/>
              </w:rPr>
              <w:t>75</w:t>
            </w:r>
          </w:p>
        </w:tc>
        <w:tc>
          <w:tcPr>
            <w:tcW w:w="480" w:type="dxa"/>
            <w:vAlign w:val="bottom"/>
            <w:tcBorders>
              <w:bottom w:val="single" w:sz="8" w:color="CCEEFF"/>
            </w:tcBorders>
            <w:shd w:val="clear" w:color="auto" w:fill="CCEEFF"/>
          </w:tcPr>
          <w:p>
            <w:pPr>
              <w:spacing w:after="0"/>
              <w:rPr>
                <w:sz w:val="13"/>
                <w:szCs w:val="13"/>
                <w:color w:val="auto"/>
              </w:rPr>
            </w:pPr>
          </w:p>
        </w:tc>
      </w:tr>
      <w:tr>
        <w:trPr>
          <w:trHeight w:val="154"/>
        </w:trPr>
        <w:tc>
          <w:tcPr>
            <w:tcW w:w="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10.</w:t>
            </w:r>
          </w:p>
        </w:tc>
        <w:tc>
          <w:tcPr>
            <w:tcW w:w="93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Directors, Executive Officers and Corporate Governance</w:t>
            </w:r>
          </w:p>
        </w:tc>
        <w:tc>
          <w:tcPr>
            <w:tcW w:w="520" w:type="dxa"/>
            <w:vAlign w:val="bottom"/>
          </w:tcPr>
          <w:p>
            <w:pPr>
              <w:spacing w:after="0"/>
              <w:rPr>
                <w:sz w:val="13"/>
                <w:szCs w:val="13"/>
                <w:color w:val="auto"/>
              </w:rPr>
            </w:pPr>
          </w:p>
        </w:tc>
        <w:tc>
          <w:tcPr>
            <w:tcW w:w="100" w:type="dxa"/>
            <w:vAlign w:val="bottom"/>
            <w:tcBorders>
              <w:bottom w:val="single" w:sz="8" w:color="0000FF"/>
            </w:tcBorders>
          </w:tcPr>
          <w:p>
            <w:pPr>
              <w:jc w:val="center"/>
              <w:spacing w:after="0" w:line="149" w:lineRule="exact"/>
              <w:rPr>
                <w:sz w:val="20"/>
                <w:szCs w:val="20"/>
                <w:color w:val="auto"/>
              </w:rPr>
            </w:pPr>
            <w:r>
              <w:rPr>
                <w:rFonts w:ascii="Times New Roman" w:cs="Times New Roman" w:eastAsia="Times New Roman" w:hAnsi="Times New Roman"/>
                <w:sz w:val="14"/>
                <w:szCs w:val="14"/>
                <w:color w:val="0000FF"/>
                <w:w w:val="71"/>
              </w:rPr>
              <w:t>75</w:t>
            </w:r>
          </w:p>
        </w:tc>
        <w:tc>
          <w:tcPr>
            <w:tcW w:w="480" w:type="dxa"/>
            <w:vAlign w:val="bottom"/>
          </w:tcPr>
          <w:p>
            <w:pPr>
              <w:spacing w:after="0"/>
              <w:rPr>
                <w:sz w:val="13"/>
                <w:szCs w:val="13"/>
                <w:color w:val="auto"/>
              </w:rPr>
            </w:pPr>
          </w:p>
        </w:tc>
      </w:tr>
      <w:tr>
        <w:trPr>
          <w:trHeight w:val="166"/>
        </w:trPr>
        <w:tc>
          <w:tcPr>
            <w:tcW w:w="82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11.</w:t>
            </w:r>
          </w:p>
        </w:tc>
        <w:tc>
          <w:tcPr>
            <w:tcW w:w="9360" w:type="dxa"/>
            <w:vAlign w:val="bottom"/>
            <w:tcBorders>
              <w:bottom w:val="single" w:sz="8" w:color="CCEEFF"/>
            </w:tcBorders>
            <w:shd w:val="clear" w:color="auto" w:fill="CCEEFF"/>
          </w:tcPr>
          <w:p>
            <w:pPr>
              <w:ind w:left="260"/>
              <w:spacing w:after="0" w:line="155" w:lineRule="exact"/>
              <w:rPr>
                <w:sz w:val="20"/>
                <w:szCs w:val="20"/>
                <w:color w:val="auto"/>
              </w:rPr>
            </w:pPr>
            <w:r>
              <w:rPr>
                <w:rFonts w:ascii="Times New Roman" w:cs="Times New Roman" w:eastAsia="Times New Roman" w:hAnsi="Times New Roman"/>
                <w:sz w:val="14"/>
                <w:szCs w:val="14"/>
                <w:color w:val="auto"/>
              </w:rPr>
              <w:t>Executive Compensation</w:t>
            </w:r>
          </w:p>
        </w:tc>
        <w:tc>
          <w:tcPr>
            <w:tcW w:w="520" w:type="dxa"/>
            <w:vAlign w:val="bottom"/>
            <w:tcBorders>
              <w:bottom w:val="single" w:sz="8" w:color="CCEEFF"/>
              <w:right w:val="single" w:sz="8" w:color="CCEEFF"/>
            </w:tcBorders>
            <w:shd w:val="clear" w:color="auto" w:fill="CCEEFF"/>
          </w:tcPr>
          <w:p>
            <w:pPr>
              <w:spacing w:after="0"/>
              <w:rPr>
                <w:sz w:val="14"/>
                <w:szCs w:val="14"/>
                <w:color w:val="auto"/>
              </w:rPr>
            </w:pPr>
          </w:p>
        </w:tc>
        <w:tc>
          <w:tcPr>
            <w:tcW w:w="100" w:type="dxa"/>
            <w:vAlign w:val="bottom"/>
            <w:tcBorders>
              <w:left w:val="single" w:sz="8" w:color="CCEEFF"/>
              <w:bottom w:val="single" w:sz="8" w:color="0000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w w:val="71"/>
              </w:rPr>
              <w:t>75</w:t>
            </w:r>
          </w:p>
        </w:tc>
        <w:tc>
          <w:tcPr>
            <w:tcW w:w="480" w:type="dxa"/>
            <w:vAlign w:val="bottom"/>
            <w:tcBorders>
              <w:bottom w:val="single" w:sz="8" w:color="CCEEFF"/>
            </w:tcBorders>
            <w:shd w:val="clear" w:color="auto" w:fill="CCEEFF"/>
          </w:tcPr>
          <w:p>
            <w:pPr>
              <w:spacing w:after="0"/>
              <w:rPr>
                <w:sz w:val="14"/>
                <w:szCs w:val="14"/>
                <w:color w:val="auto"/>
              </w:rPr>
            </w:pPr>
          </w:p>
        </w:tc>
      </w:tr>
      <w:tr>
        <w:trPr>
          <w:trHeight w:val="154"/>
        </w:trPr>
        <w:tc>
          <w:tcPr>
            <w:tcW w:w="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12.</w:t>
            </w:r>
          </w:p>
        </w:tc>
        <w:tc>
          <w:tcPr>
            <w:tcW w:w="93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Security Ownership of Certain Beneficial Owners and Management and Related Stockholder Matters</w:t>
            </w:r>
          </w:p>
        </w:tc>
        <w:tc>
          <w:tcPr>
            <w:tcW w:w="520" w:type="dxa"/>
            <w:vAlign w:val="bottom"/>
          </w:tcPr>
          <w:p>
            <w:pPr>
              <w:spacing w:after="0"/>
              <w:rPr>
                <w:sz w:val="13"/>
                <w:szCs w:val="13"/>
                <w:color w:val="auto"/>
              </w:rPr>
            </w:pPr>
          </w:p>
        </w:tc>
        <w:tc>
          <w:tcPr>
            <w:tcW w:w="100" w:type="dxa"/>
            <w:vAlign w:val="bottom"/>
            <w:tcBorders>
              <w:bottom w:val="single" w:sz="8" w:color="0000FF"/>
            </w:tcBorders>
          </w:tcPr>
          <w:p>
            <w:pPr>
              <w:jc w:val="center"/>
              <w:spacing w:after="0" w:line="149" w:lineRule="exact"/>
              <w:rPr>
                <w:sz w:val="20"/>
                <w:szCs w:val="20"/>
                <w:color w:val="auto"/>
              </w:rPr>
            </w:pPr>
            <w:r>
              <w:rPr>
                <w:rFonts w:ascii="Times New Roman" w:cs="Times New Roman" w:eastAsia="Times New Roman" w:hAnsi="Times New Roman"/>
                <w:sz w:val="14"/>
                <w:szCs w:val="14"/>
                <w:color w:val="0000FF"/>
                <w:w w:val="71"/>
              </w:rPr>
              <w:t>75</w:t>
            </w:r>
          </w:p>
        </w:tc>
        <w:tc>
          <w:tcPr>
            <w:tcW w:w="480" w:type="dxa"/>
            <w:vAlign w:val="bottom"/>
          </w:tcPr>
          <w:p>
            <w:pPr>
              <w:spacing w:after="0"/>
              <w:rPr>
                <w:sz w:val="13"/>
                <w:szCs w:val="13"/>
                <w:color w:val="auto"/>
              </w:rPr>
            </w:pPr>
          </w:p>
        </w:tc>
      </w:tr>
      <w:tr>
        <w:trPr>
          <w:trHeight w:val="166"/>
        </w:trPr>
        <w:tc>
          <w:tcPr>
            <w:tcW w:w="82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13.</w:t>
            </w:r>
          </w:p>
        </w:tc>
        <w:tc>
          <w:tcPr>
            <w:tcW w:w="9360" w:type="dxa"/>
            <w:vAlign w:val="bottom"/>
            <w:tcBorders>
              <w:bottom w:val="single" w:sz="8" w:color="CCEEFF"/>
            </w:tcBorders>
            <w:shd w:val="clear" w:color="auto" w:fill="CCEEFF"/>
          </w:tcPr>
          <w:p>
            <w:pPr>
              <w:ind w:left="260"/>
              <w:spacing w:after="0" w:line="155" w:lineRule="exact"/>
              <w:rPr>
                <w:sz w:val="20"/>
                <w:szCs w:val="20"/>
                <w:color w:val="auto"/>
              </w:rPr>
            </w:pPr>
            <w:r>
              <w:rPr>
                <w:rFonts w:ascii="Times New Roman" w:cs="Times New Roman" w:eastAsia="Times New Roman" w:hAnsi="Times New Roman"/>
                <w:sz w:val="14"/>
                <w:szCs w:val="14"/>
                <w:color w:val="auto"/>
              </w:rPr>
              <w:t>Certain Relationships and Related Transactions, and Director Independence</w:t>
            </w:r>
          </w:p>
        </w:tc>
        <w:tc>
          <w:tcPr>
            <w:tcW w:w="520" w:type="dxa"/>
            <w:vAlign w:val="bottom"/>
            <w:tcBorders>
              <w:bottom w:val="single" w:sz="8" w:color="CCEEFF"/>
              <w:right w:val="single" w:sz="8" w:color="CCEEFF"/>
            </w:tcBorders>
            <w:shd w:val="clear" w:color="auto" w:fill="CCEEFF"/>
          </w:tcPr>
          <w:p>
            <w:pPr>
              <w:spacing w:after="0"/>
              <w:rPr>
                <w:sz w:val="14"/>
                <w:szCs w:val="14"/>
                <w:color w:val="auto"/>
              </w:rPr>
            </w:pPr>
          </w:p>
        </w:tc>
        <w:tc>
          <w:tcPr>
            <w:tcW w:w="100" w:type="dxa"/>
            <w:vAlign w:val="bottom"/>
            <w:tcBorders>
              <w:left w:val="single" w:sz="8" w:color="CCEEFF"/>
              <w:bottom w:val="single" w:sz="8" w:color="0000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w w:val="71"/>
              </w:rPr>
              <w:t>75</w:t>
            </w:r>
          </w:p>
        </w:tc>
        <w:tc>
          <w:tcPr>
            <w:tcW w:w="480" w:type="dxa"/>
            <w:vAlign w:val="bottom"/>
            <w:tcBorders>
              <w:bottom w:val="single" w:sz="8" w:color="CCEEFF"/>
            </w:tcBorders>
            <w:shd w:val="clear" w:color="auto" w:fill="CCEEFF"/>
          </w:tcPr>
          <w:p>
            <w:pPr>
              <w:spacing w:after="0"/>
              <w:rPr>
                <w:sz w:val="14"/>
                <w:szCs w:val="14"/>
                <w:color w:val="auto"/>
              </w:rPr>
            </w:pPr>
          </w:p>
        </w:tc>
      </w:tr>
      <w:tr>
        <w:trPr>
          <w:trHeight w:val="154"/>
        </w:trPr>
        <w:tc>
          <w:tcPr>
            <w:tcW w:w="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14.</w:t>
            </w:r>
          </w:p>
        </w:tc>
        <w:tc>
          <w:tcPr>
            <w:tcW w:w="93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Principal Accounting Fees and Services</w:t>
            </w:r>
          </w:p>
        </w:tc>
        <w:tc>
          <w:tcPr>
            <w:tcW w:w="620" w:type="dxa"/>
            <w:vAlign w:val="bottom"/>
            <w:gridSpan w:val="2"/>
          </w:tcPr>
          <w:p>
            <w:pPr>
              <w:jc w:val="center"/>
              <w:ind w:left="409"/>
              <w:spacing w:after="0" w:line="149" w:lineRule="exact"/>
              <w:rPr>
                <w:sz w:val="20"/>
                <w:szCs w:val="20"/>
                <w:color w:val="auto"/>
              </w:rPr>
            </w:pPr>
            <w:r>
              <w:rPr>
                <w:rFonts w:ascii="Times New Roman" w:cs="Times New Roman" w:eastAsia="Times New Roman" w:hAnsi="Times New Roman"/>
                <w:sz w:val="14"/>
                <w:szCs w:val="14"/>
                <w:color w:val="0000FF"/>
                <w:w w:val="99"/>
              </w:rPr>
              <w:t>75</w:t>
            </w:r>
          </w:p>
        </w:tc>
        <w:tc>
          <w:tcPr>
            <w:tcW w:w="480" w:type="dxa"/>
            <w:vAlign w:val="bottom"/>
          </w:tcPr>
          <w:p>
            <w:pPr>
              <w:spacing w:after="0"/>
              <w:rPr>
                <w:sz w:val="13"/>
                <w:szCs w:val="13"/>
                <w:color w:val="auto"/>
              </w:rPr>
            </w:pPr>
          </w:p>
        </w:tc>
      </w:tr>
      <w:tr>
        <w:trPr>
          <w:trHeight w:val="186"/>
        </w:trPr>
        <w:tc>
          <w:tcPr>
            <w:tcW w:w="820" w:type="dxa"/>
            <w:vAlign w:val="bottom"/>
            <w:shd w:val="clear" w:color="auto" w:fill="CCEEFF"/>
          </w:tcPr>
          <w:p>
            <w:pPr>
              <w:spacing w:after="0"/>
              <w:rPr>
                <w:sz w:val="16"/>
                <w:szCs w:val="16"/>
                <w:color w:val="auto"/>
              </w:rPr>
            </w:pPr>
          </w:p>
        </w:tc>
        <w:tc>
          <w:tcPr>
            <w:tcW w:w="9360" w:type="dxa"/>
            <w:vAlign w:val="bottom"/>
            <w:shd w:val="clear" w:color="auto" w:fill="CCEEFF"/>
          </w:tcPr>
          <w:p>
            <w:pPr>
              <w:spacing w:after="0"/>
              <w:rPr>
                <w:sz w:val="16"/>
                <w:szCs w:val="16"/>
                <w:color w:val="auto"/>
              </w:rPr>
            </w:pPr>
          </w:p>
        </w:tc>
        <w:tc>
          <w:tcPr>
            <w:tcW w:w="52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0000FF"/>
              <w:lef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r>
      <w:tr>
        <w:trPr>
          <w:trHeight w:val="154"/>
        </w:trPr>
        <w:tc>
          <w:tcPr>
            <w:tcW w:w="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PART IV</w:t>
            </w:r>
          </w:p>
        </w:tc>
        <w:tc>
          <w:tcPr>
            <w:tcW w:w="9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bottom w:val="single" w:sz="8" w:color="0000FF"/>
            </w:tcBorders>
          </w:tcPr>
          <w:p>
            <w:pPr>
              <w:jc w:val="center"/>
              <w:spacing w:after="0" w:line="149" w:lineRule="exact"/>
              <w:rPr>
                <w:sz w:val="20"/>
                <w:szCs w:val="20"/>
                <w:color w:val="auto"/>
              </w:rPr>
            </w:pPr>
            <w:r>
              <w:rPr>
                <w:rFonts w:ascii="Times New Roman" w:cs="Times New Roman" w:eastAsia="Times New Roman" w:hAnsi="Times New Roman"/>
                <w:sz w:val="14"/>
                <w:szCs w:val="14"/>
                <w:color w:val="0000FF"/>
                <w:w w:val="71"/>
              </w:rPr>
              <w:t>76</w:t>
            </w:r>
          </w:p>
        </w:tc>
        <w:tc>
          <w:tcPr>
            <w:tcW w:w="480" w:type="dxa"/>
            <w:vAlign w:val="bottom"/>
          </w:tcPr>
          <w:p>
            <w:pPr>
              <w:spacing w:after="0"/>
              <w:rPr>
                <w:sz w:val="13"/>
                <w:szCs w:val="13"/>
                <w:color w:val="auto"/>
              </w:rPr>
            </w:pPr>
          </w:p>
        </w:tc>
      </w:tr>
      <w:tr>
        <w:trPr>
          <w:trHeight w:val="166"/>
        </w:trPr>
        <w:tc>
          <w:tcPr>
            <w:tcW w:w="82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15.</w:t>
            </w:r>
          </w:p>
        </w:tc>
        <w:tc>
          <w:tcPr>
            <w:tcW w:w="9360" w:type="dxa"/>
            <w:vAlign w:val="bottom"/>
            <w:shd w:val="clear" w:color="auto" w:fill="CCEEFF"/>
          </w:tcPr>
          <w:p>
            <w:pPr>
              <w:ind w:left="260"/>
              <w:spacing w:after="0" w:line="155" w:lineRule="exact"/>
              <w:rPr>
                <w:sz w:val="20"/>
                <w:szCs w:val="20"/>
                <w:color w:val="auto"/>
              </w:rPr>
            </w:pPr>
            <w:r>
              <w:rPr>
                <w:rFonts w:ascii="Times New Roman" w:cs="Times New Roman" w:eastAsia="Times New Roman" w:hAnsi="Times New Roman"/>
                <w:sz w:val="14"/>
                <w:szCs w:val="14"/>
                <w:color w:val="auto"/>
              </w:rPr>
              <w:t>Exhibits, Financial Statement Schedules</w:t>
            </w:r>
          </w:p>
        </w:tc>
        <w:tc>
          <w:tcPr>
            <w:tcW w:w="620" w:type="dxa"/>
            <w:vAlign w:val="bottom"/>
            <w:gridSpan w:val="2"/>
            <w:shd w:val="clear" w:color="auto" w:fill="CCEEFF"/>
          </w:tcPr>
          <w:p>
            <w:pPr>
              <w:jc w:val="center"/>
              <w:ind w:left="409"/>
              <w:spacing w:after="0" w:line="155" w:lineRule="exact"/>
              <w:rPr>
                <w:sz w:val="20"/>
                <w:szCs w:val="20"/>
                <w:color w:val="auto"/>
              </w:rPr>
            </w:pPr>
            <w:r>
              <w:rPr>
                <w:rFonts w:ascii="Times New Roman" w:cs="Times New Roman" w:eastAsia="Times New Roman" w:hAnsi="Times New Roman"/>
                <w:sz w:val="14"/>
                <w:szCs w:val="14"/>
                <w:color w:val="0000FF"/>
                <w:w w:val="99"/>
              </w:rPr>
              <w:t>76</w:t>
            </w:r>
          </w:p>
        </w:tc>
        <w:tc>
          <w:tcPr>
            <w:tcW w:w="480" w:type="dxa"/>
            <w:vAlign w:val="bottom"/>
            <w:shd w:val="clear" w:color="auto" w:fill="CCEEFF"/>
          </w:tcPr>
          <w:p>
            <w:pPr>
              <w:spacing w:after="0"/>
              <w:rPr>
                <w:sz w:val="14"/>
                <w:szCs w:val="14"/>
                <w:color w:val="auto"/>
              </w:rPr>
            </w:pPr>
          </w:p>
        </w:tc>
      </w:tr>
      <w:tr>
        <w:trPr>
          <w:trHeight w:val="1232"/>
        </w:trPr>
        <w:tc>
          <w:tcPr>
            <w:tcW w:w="820" w:type="dxa"/>
            <w:vAlign w:val="bottom"/>
            <w:tcBorders>
              <w:top w:val="single" w:sz="8" w:color="CCEEFF"/>
              <w:bottom w:val="single" w:sz="8" w:color="9A9A9A"/>
            </w:tcBorders>
          </w:tcPr>
          <w:p>
            <w:pPr>
              <w:spacing w:after="0"/>
              <w:rPr>
                <w:sz w:val="24"/>
                <w:szCs w:val="24"/>
                <w:color w:val="auto"/>
              </w:rPr>
            </w:pPr>
          </w:p>
        </w:tc>
        <w:tc>
          <w:tcPr>
            <w:tcW w:w="9360" w:type="dxa"/>
            <w:vAlign w:val="bottom"/>
            <w:tcBorders>
              <w:top w:val="single" w:sz="8" w:color="CCEEFF"/>
              <w:bottom w:val="single" w:sz="8" w:color="9A9A9A"/>
            </w:tcBorders>
          </w:tcPr>
          <w:p>
            <w:pPr>
              <w:spacing w:after="0"/>
              <w:rPr>
                <w:sz w:val="24"/>
                <w:szCs w:val="24"/>
                <w:color w:val="auto"/>
              </w:rPr>
            </w:pPr>
          </w:p>
        </w:tc>
        <w:tc>
          <w:tcPr>
            <w:tcW w:w="52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color w:val="auto"/>
        </w:rPr>
        <w:t>GLOSSARY OF TERMS, ABBREVIATIONS AND ACRONYMS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following terms, abbreviations and acronyms are used to identify frequently used terms and phrases that may be used in this report: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 w:type="dxa"/>
            <w:vAlign w:val="bottom"/>
          </w:tcPr>
          <w:p>
            <w:pPr>
              <w:spacing w:after="0"/>
              <w:rPr>
                <w:sz w:val="16"/>
                <w:szCs w:val="16"/>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TERM</w:t>
            </w:r>
          </w:p>
        </w:tc>
        <w:tc>
          <w:tcPr>
            <w:tcW w:w="8720" w:type="dxa"/>
            <w:vAlign w:val="bottom"/>
            <w:gridSpan w:val="2"/>
          </w:tcPr>
          <w:p>
            <w:pPr>
              <w:ind w:left="3800"/>
              <w:spacing w:after="0"/>
              <w:rPr>
                <w:sz w:val="20"/>
                <w:szCs w:val="20"/>
                <w:color w:val="auto"/>
              </w:rPr>
            </w:pPr>
            <w:r>
              <w:rPr>
                <w:rFonts w:ascii="Times New Roman" w:cs="Times New Roman" w:eastAsia="Times New Roman" w:hAnsi="Times New Roman"/>
                <w:sz w:val="14"/>
                <w:szCs w:val="14"/>
                <w:color w:val="auto"/>
              </w:rPr>
              <w:t>DEFINITION</w:t>
            </w:r>
          </w:p>
        </w:tc>
        <w:tc>
          <w:tcPr>
            <w:tcW w:w="0" w:type="dxa"/>
            <w:vAlign w:val="bottom"/>
          </w:tcPr>
          <w:p>
            <w:pPr>
              <w:spacing w:after="0"/>
              <w:rPr>
                <w:sz w:val="1"/>
                <w:szCs w:val="1"/>
                <w:color w:val="auto"/>
              </w:rPr>
            </w:pPr>
          </w:p>
        </w:tc>
      </w:tr>
      <w:tr>
        <w:trPr>
          <w:trHeight w:val="181"/>
        </w:trPr>
        <w:tc>
          <w:tcPr>
            <w:tcW w:w="440" w:type="dxa"/>
            <w:vAlign w:val="bottom"/>
          </w:tcPr>
          <w:p>
            <w:pPr>
              <w:spacing w:after="0"/>
              <w:rPr>
                <w:sz w:val="15"/>
                <w:szCs w:val="15"/>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12.5% Notes</w:t>
            </w:r>
          </w:p>
        </w:tc>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12.5% Senior Secured Notes redeemed on November 1, 2023</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13.5% Notes</w:t>
            </w:r>
          </w:p>
        </w:tc>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13.5% Senior Secured Notes</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2024 Underwritten Public Offering</w:t>
            </w:r>
          </w:p>
        </w:tc>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raise of gross proceeds of $77,519, including partial exercise of the underwriters' option for $2,519</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2025 Underwritten Public Offering</w:t>
            </w:r>
          </w:p>
        </w:tc>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raise of gross proceeds of $85,000</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ABL</w:t>
            </w:r>
          </w:p>
        </w:tc>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Asset-Based Lending</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ADHD</w:t>
            </w:r>
          </w:p>
        </w:tc>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Attention Deficit Hyperactivity Disorder</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AED</w:t>
            </w:r>
          </w:p>
        </w:tc>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Antiepileptic drug</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AI</w:t>
            </w:r>
          </w:p>
        </w:tc>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Artificial Intelligence</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ALS</w:t>
            </w:r>
          </w:p>
        </w:tc>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Amyotrophic Lateral Sclerosis</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Amendment</w:t>
            </w:r>
          </w:p>
        </w:tc>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Amendment No. 1 to the Purchase and Sale Agreement</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ANDA</w:t>
            </w:r>
          </w:p>
        </w:tc>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Abbreviated New Drug Application</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ANVISA</w:t>
            </w:r>
          </w:p>
        </w:tc>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Brazilian Health Regulatory Agency</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API</w:t>
            </w:r>
          </w:p>
        </w:tc>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Active Pharmaceutical Ingredients</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AQST</w:t>
            </w:r>
          </w:p>
        </w:tc>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 symbol for Aquestive Therapeutics, Inc.</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ARO</w:t>
            </w:r>
          </w:p>
        </w:tc>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Asset Retirement Obligations</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ARS</w:t>
            </w:r>
          </w:p>
        </w:tc>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Acute Repetitive Seizures</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ASC</w:t>
            </w:r>
          </w:p>
        </w:tc>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Accounting Standards Codification</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Assertio</w:t>
            </w:r>
          </w:p>
        </w:tc>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Assertio Holdings, Inc.</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Assertio Agreement</w:t>
            </w:r>
          </w:p>
        </w:tc>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License Agreement between Aquestive and Otter Pharmaceuticals, LLC, a subsidiary of Assertio Holdings,</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ASU</w:t>
            </w:r>
          </w:p>
        </w:tc>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Accounting Standards Updates</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ATM</w:t>
            </w:r>
          </w:p>
        </w:tc>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At-The-Market facility for the purchase of AQST Common Stock</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Audit Committee</w:t>
            </w:r>
          </w:p>
        </w:tc>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Audit Committee of the Board of Directors</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BBA</w:t>
            </w:r>
          </w:p>
        </w:tc>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Bipartisan Budget Act of 2018</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cGMP</w:t>
            </w:r>
          </w:p>
        </w:tc>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Good Manufacturing Practices</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CMC</w:t>
            </w:r>
          </w:p>
        </w:tc>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Chemistry, Manufacturing and Controls</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CMS</w:t>
            </w:r>
          </w:p>
        </w:tc>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Centers for Medicare &amp; Medicaid Services</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CNS</w:t>
            </w:r>
          </w:p>
        </w:tc>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Central Nervous System</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CODM</w:t>
            </w:r>
          </w:p>
        </w:tc>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Chief Operating Decision Maker</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 par value $0.001 per share, of the Company</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Warrants</w:t>
            </w:r>
          </w:p>
        </w:tc>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Warrants issued with private placement of up to $100,000 aggregate principal of 12.5% Notes originally due 2025</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6"/>
                <w:szCs w:val="16"/>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CSIRT</w:t>
            </w:r>
          </w:p>
        </w:tc>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Company’s Cybersecurity Incident Response Team</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440" w:type="dxa"/>
            <w:vAlign w:val="bottom"/>
          </w:tcPr>
          <w:p>
            <w:pPr>
              <w:spacing w:after="0"/>
              <w:rPr>
                <w:sz w:val="7"/>
                <w:szCs w:val="7"/>
                <w:color w:val="auto"/>
              </w:rPr>
            </w:pPr>
          </w:p>
        </w:tc>
        <w:tc>
          <w:tcPr>
            <w:tcW w:w="2120" w:type="dxa"/>
            <w:vAlign w:val="bottom"/>
            <w:shd w:val="clear" w:color="auto" w:fill="CCEEFF"/>
          </w:tcPr>
          <w:p>
            <w:pPr>
              <w:spacing w:after="0"/>
              <w:rPr>
                <w:sz w:val="7"/>
                <w:szCs w:val="7"/>
                <w:color w:val="auto"/>
              </w:rPr>
            </w:pPr>
          </w:p>
        </w:tc>
        <w:tc>
          <w:tcPr>
            <w:tcW w:w="8300" w:type="dxa"/>
            <w:vAlign w:val="bottom"/>
            <w:shd w:val="clear" w:color="auto" w:fill="CCEEFF"/>
          </w:tcPr>
          <w:p>
            <w:pPr>
              <w:spacing w:after="0"/>
              <w:rPr>
                <w:sz w:val="7"/>
                <w:szCs w:val="7"/>
                <w:color w:val="auto"/>
              </w:rPr>
            </w:pPr>
          </w:p>
        </w:tc>
        <w:tc>
          <w:tcPr>
            <w:tcW w:w="4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Cosmed</w:t>
            </w:r>
          </w:p>
        </w:tc>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CosMed Industria De Cosmeticos E Medicamentos S.A</w:t>
            </w:r>
          </w:p>
        </w:tc>
        <w:tc>
          <w:tcPr>
            <w:tcW w:w="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COSO</w:t>
            </w:r>
          </w:p>
        </w:tc>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Committee of Sponsoring Organization of the Treadway Commission</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CRL</w:t>
            </w:r>
          </w:p>
        </w:tc>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Complete Response Letter (FDA)</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CROs</w:t>
            </w:r>
          </w:p>
        </w:tc>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Contract research organizations</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DEA</w:t>
            </w:r>
          </w:p>
        </w:tc>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Drug Enforcement Agency</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DSCSA</w:t>
            </w:r>
          </w:p>
        </w:tc>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Drug Supply Chain Security Act</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EBIT</w:t>
            </w:r>
          </w:p>
        </w:tc>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Earnings before interest and taxes</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EMA</w:t>
            </w:r>
          </w:p>
        </w:tc>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European Medicines Agency</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EoP2</w:t>
            </w:r>
          </w:p>
        </w:tc>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End-of-Phase 2</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EPO</w:t>
            </w:r>
          </w:p>
        </w:tc>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European Patent Office</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5"/>
        </w:trPr>
        <w:tc>
          <w:tcPr>
            <w:tcW w:w="4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8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44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EPS</w:t>
            </w:r>
          </w:p>
        </w:tc>
        <w:tc>
          <w:tcPr>
            <w:tcW w:w="89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Earnings (loss) per share</w:t>
            </w:r>
          </w:p>
        </w:tc>
        <w:tc>
          <w:tcPr>
            <w:tcW w:w="0" w:type="dxa"/>
            <w:vAlign w:val="bottom"/>
          </w:tcPr>
          <w:p>
            <w:pPr>
              <w:spacing w:after="0"/>
              <w:rPr>
                <w:sz w:val="1"/>
                <w:szCs w:val="1"/>
                <w:color w:val="auto"/>
              </w:rPr>
            </w:pPr>
          </w:p>
        </w:tc>
      </w:tr>
      <w:tr>
        <w:trPr>
          <w:trHeight w:val="181"/>
        </w:trPr>
        <w:tc>
          <w:tcPr>
            <w:tcW w:w="44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ERTC</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Employee Retention Tax Credit</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ESPP</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EU</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European Union</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Exchange Act</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Securities Exchange Act of 1934</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Existing Warrants</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Common Stock Purchase Warrants with the holder of the remaining 5,000,000 warrants</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FASB</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Financial Accounting Standards Board</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FDA</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U.S. Food and Drug Administration</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FDAAA</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The Food and Drug Administration Amendments Act of 2007</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FDCA</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The Federal Food, Drug, and Cosmetic Act</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FDIC</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Federal Deposit Insurance Corporation</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FDII</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Foreign Derived Intangible Income</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First Amendment</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First amendment to the Sunovion License Agreement</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GAAP</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Generally Accepted Accounting Principles</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GCP</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Good Clinical Practice</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GLP</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Good Laboratory Practice</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Haisco</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Haisco Pharmaceutical Group Co., Ltd.</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4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8480" w:type="dxa"/>
            <w:vAlign w:val="bottom"/>
          </w:tcPr>
          <w:p>
            <w:pPr>
              <w:spacing w:after="0"/>
              <w:rPr>
                <w:sz w:val="7"/>
                <w:szCs w:val="7"/>
                <w:color w:val="auto"/>
              </w:rPr>
            </w:pPr>
          </w:p>
        </w:tc>
        <w:tc>
          <w:tcPr>
            <w:tcW w:w="4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6"/>
                <w:szCs w:val="16"/>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Haisco Agreement</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License, Development and Supply Agreement with Haisco, a Chinese limited company listed on the Shenzhen Stock Exchange</w:t>
            </w:r>
          </w:p>
        </w:tc>
        <w:tc>
          <w:tcPr>
            <w:tcW w:w="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440" w:type="dxa"/>
            <w:vAlign w:val="bottom"/>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8480" w:type="dxa"/>
            <w:vAlign w:val="bottom"/>
            <w:shd w:val="clear" w:color="auto" w:fill="CCEEFF"/>
          </w:tcPr>
          <w:p>
            <w:pPr>
              <w:spacing w:after="0"/>
              <w:rPr>
                <w:sz w:val="8"/>
                <w:szCs w:val="8"/>
                <w:color w:val="auto"/>
              </w:rPr>
            </w:pPr>
          </w:p>
        </w:tc>
        <w:tc>
          <w:tcPr>
            <w:tcW w:w="4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HCP</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Healthcare provider</w:t>
            </w:r>
          </w:p>
        </w:tc>
        <w:tc>
          <w:tcPr>
            <w:tcW w:w="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HHS</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U.S. Department of Health and Human Services</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HIPAA</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Health Insurance Portability and Accountability Act of 1996</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HITECH</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Health Information Technology for Economic and Clinical Health Act</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HF</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Human Factors</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IND</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Investigational New Drug Application</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Indenture Agreement</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Agreement governing the 13.5% Senior Secured Notes</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Indivior</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Indivior UK Limited (formerly, Reckitt Benckiser Pharmaceuticals Inc and Indivior Inc.)</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Indivior Amendment 11</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Amendment No. 11 to the Indivior License Agreement</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Indivior License Agreement</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Commercial Exploitation Agreement with Reckitt Benckiser Pharmaceuticals, Inc. (with subsequent amendments collectively)</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IM</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Intramuscular</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IRB</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Institutional Review Board</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Lincoln Park</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Lincoln Park Capital Fund, LLC</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Marathon</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Marathon Asset Management</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MHRA</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Medicines and Healthcare Products Regulatory Agency</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4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8480" w:type="dxa"/>
            <w:vAlign w:val="bottom"/>
          </w:tcPr>
          <w:p>
            <w:pPr>
              <w:spacing w:after="0"/>
              <w:rPr>
                <w:sz w:val="7"/>
                <w:szCs w:val="7"/>
                <w:color w:val="auto"/>
              </w:rPr>
            </w:pPr>
          </w:p>
        </w:tc>
        <w:tc>
          <w:tcPr>
            <w:tcW w:w="4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Monetization Agreement</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Purchase and Sale Agreement between Aquestive and Sunovion</w:t>
            </w:r>
          </w:p>
        </w:tc>
        <w:tc>
          <w:tcPr>
            <w:tcW w:w="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MSSP</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Managed Security Services Provider</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MTPA</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Mitsubishi Tanabe Pharma Holdings America, Inc.</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N/M</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Not Meaningful, used in percentage changes</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6"/>
                <w:szCs w:val="16"/>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Nasdaq</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The Nasdaq Stock Market</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440" w:type="dxa"/>
            <w:vAlign w:val="bottom"/>
          </w:tcPr>
          <w:p>
            <w:pPr>
              <w:spacing w:after="0"/>
              <w:rPr>
                <w:sz w:val="7"/>
                <w:szCs w:val="7"/>
                <w:color w:val="auto"/>
              </w:rPr>
            </w:pPr>
          </w:p>
        </w:tc>
        <w:tc>
          <w:tcPr>
            <w:tcW w:w="1940" w:type="dxa"/>
            <w:vAlign w:val="bottom"/>
            <w:shd w:val="clear" w:color="auto" w:fill="CCEEFF"/>
          </w:tcPr>
          <w:p>
            <w:pPr>
              <w:spacing w:after="0"/>
              <w:rPr>
                <w:sz w:val="7"/>
                <w:szCs w:val="7"/>
                <w:color w:val="auto"/>
              </w:rPr>
            </w:pPr>
          </w:p>
        </w:tc>
        <w:tc>
          <w:tcPr>
            <w:tcW w:w="8480" w:type="dxa"/>
            <w:vAlign w:val="bottom"/>
            <w:shd w:val="clear" w:color="auto" w:fill="CCEEFF"/>
          </w:tcPr>
          <w:p>
            <w:pPr>
              <w:spacing w:after="0"/>
              <w:rPr>
                <w:sz w:val="7"/>
                <w:szCs w:val="7"/>
                <w:color w:val="auto"/>
              </w:rPr>
            </w:pPr>
          </w:p>
        </w:tc>
        <w:tc>
          <w:tcPr>
            <w:tcW w:w="4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NDA</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New Drug Application</w:t>
            </w:r>
          </w:p>
        </w:tc>
        <w:tc>
          <w:tcPr>
            <w:tcW w:w="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NDS</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New Drug Submission</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New Warrants</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Warrants to purchase 2,750,000 shares of Common Stock</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NIH</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National Institutes of Health</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NIST CSF</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National Institute of Standards and Technology Cybersecurity Framework</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ODE</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Orphan Drug Exclusivity</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PD</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Pharmacodynamics</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PDMA</w:t>
            </w:r>
          </w:p>
        </w:tc>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The U.S. Prescription Drug Marketing Act</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PDUFA</w:t>
            </w:r>
          </w:p>
        </w:tc>
        <w:tc>
          <w:tcPr>
            <w:tcW w:w="8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Prescription Drug User Fee Act</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1"/>
        </w:trPr>
        <w:tc>
          <w:tcPr>
            <w:tcW w:w="4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84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0"/>
        </w:trPr>
        <w:tc>
          <w:tcPr>
            <w:tcW w:w="440" w:type="dxa"/>
            <w:vAlign w:val="bottom"/>
          </w:tcPr>
          <w:p>
            <w:pPr>
              <w:spacing w:after="0"/>
              <w:rPr>
                <w:sz w:val="15"/>
                <w:szCs w:val="15"/>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Pharmanovia</w:t>
            </w:r>
          </w:p>
        </w:tc>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Atnahs Pharma UK Limited, a company registered in England and Wales</w:t>
            </w:r>
          </w:p>
        </w:tc>
        <w:tc>
          <w:tcPr>
            <w:tcW w:w="420" w:type="dxa"/>
            <w:vAlign w:val="bottom"/>
          </w:tcPr>
          <w:p>
            <w:pPr>
              <w:spacing w:after="0"/>
              <w:rPr>
                <w:sz w:val="15"/>
                <w:szCs w:val="15"/>
                <w:color w:val="auto"/>
              </w:rPr>
            </w:pPr>
          </w:p>
        </w:tc>
      </w:tr>
      <w:tr>
        <w:trPr>
          <w:trHeight w:val="180"/>
        </w:trPr>
        <w:tc>
          <w:tcPr>
            <w:tcW w:w="440" w:type="dxa"/>
            <w:vAlign w:val="bottom"/>
          </w:tcPr>
          <w:p>
            <w:pPr>
              <w:spacing w:after="0"/>
              <w:rPr>
                <w:sz w:val="15"/>
                <w:szCs w:val="15"/>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Pharmanovia Agreement</w:t>
            </w:r>
          </w:p>
        </w:tc>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License and Supply Agreement with Atnahs Pharma UK Limited,</w:t>
            </w:r>
          </w:p>
        </w:tc>
        <w:tc>
          <w:tcPr>
            <w:tcW w:w="420" w:type="dxa"/>
            <w:vAlign w:val="bottom"/>
          </w:tcPr>
          <w:p>
            <w:pPr>
              <w:spacing w:after="0"/>
              <w:rPr>
                <w:sz w:val="15"/>
                <w:szCs w:val="15"/>
                <w:color w:val="auto"/>
              </w:rPr>
            </w:pPr>
          </w:p>
        </w:tc>
      </w:tr>
      <w:tr>
        <w:trPr>
          <w:trHeight w:val="180"/>
        </w:trPr>
        <w:tc>
          <w:tcPr>
            <w:tcW w:w="440" w:type="dxa"/>
            <w:vAlign w:val="bottom"/>
          </w:tcPr>
          <w:p>
            <w:pPr>
              <w:spacing w:after="0"/>
              <w:rPr>
                <w:sz w:val="15"/>
                <w:szCs w:val="15"/>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Pharmanovia Amendment</w:t>
            </w:r>
          </w:p>
        </w:tc>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Amended License and Supply Agreement with Atnahs Pharma UK Limited as of March 27, 2023</w:t>
            </w:r>
          </w:p>
        </w:tc>
        <w:tc>
          <w:tcPr>
            <w:tcW w:w="420" w:type="dxa"/>
            <w:vAlign w:val="bottom"/>
          </w:tcPr>
          <w:p>
            <w:pPr>
              <w:spacing w:after="0"/>
              <w:rPr>
                <w:sz w:val="15"/>
                <w:szCs w:val="15"/>
                <w:color w:val="auto"/>
              </w:rPr>
            </w:pPr>
          </w:p>
        </w:tc>
      </w:tr>
      <w:tr>
        <w:trPr>
          <w:trHeight w:val="180"/>
        </w:trPr>
        <w:tc>
          <w:tcPr>
            <w:tcW w:w="440" w:type="dxa"/>
            <w:vAlign w:val="bottom"/>
          </w:tcPr>
          <w:p>
            <w:pPr>
              <w:spacing w:after="0"/>
              <w:rPr>
                <w:sz w:val="15"/>
                <w:szCs w:val="15"/>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PK</w:t>
            </w:r>
          </w:p>
        </w:tc>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Pharmacokinetic</w:t>
            </w:r>
          </w:p>
        </w:tc>
        <w:tc>
          <w:tcPr>
            <w:tcW w:w="420" w:type="dxa"/>
            <w:vAlign w:val="bottom"/>
          </w:tcPr>
          <w:p>
            <w:pPr>
              <w:spacing w:after="0"/>
              <w:rPr>
                <w:sz w:val="15"/>
                <w:szCs w:val="15"/>
                <w:color w:val="auto"/>
              </w:rPr>
            </w:pPr>
          </w:p>
        </w:tc>
      </w:tr>
      <w:tr>
        <w:trPr>
          <w:trHeight w:val="180"/>
        </w:trPr>
        <w:tc>
          <w:tcPr>
            <w:tcW w:w="440" w:type="dxa"/>
            <w:vAlign w:val="bottom"/>
          </w:tcPr>
          <w:p>
            <w:pPr>
              <w:spacing w:after="0"/>
              <w:rPr>
                <w:sz w:val="15"/>
                <w:szCs w:val="15"/>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PPACA</w:t>
            </w:r>
          </w:p>
        </w:tc>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Patient Protection and Affordable Care Act, as amended by the Health Care and Education Reconciliation Act of 2010</w:t>
            </w:r>
          </w:p>
        </w:tc>
        <w:tc>
          <w:tcPr>
            <w:tcW w:w="420" w:type="dxa"/>
            <w:vAlign w:val="bottom"/>
          </w:tcPr>
          <w:p>
            <w:pPr>
              <w:spacing w:after="0"/>
              <w:rPr>
                <w:sz w:val="15"/>
                <w:szCs w:val="15"/>
                <w:color w:val="auto"/>
              </w:rPr>
            </w:pPr>
          </w:p>
        </w:tc>
      </w:tr>
      <w:tr>
        <w:trPr>
          <w:trHeight w:val="180"/>
        </w:trPr>
        <w:tc>
          <w:tcPr>
            <w:tcW w:w="440" w:type="dxa"/>
            <w:vAlign w:val="bottom"/>
          </w:tcPr>
          <w:p>
            <w:pPr>
              <w:spacing w:after="0"/>
              <w:rPr>
                <w:sz w:val="15"/>
                <w:szCs w:val="15"/>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PTO</w:t>
            </w:r>
          </w:p>
        </w:tc>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United States Patent and Trademark Office</w:t>
            </w:r>
          </w:p>
        </w:tc>
        <w:tc>
          <w:tcPr>
            <w:tcW w:w="420" w:type="dxa"/>
            <w:vAlign w:val="bottom"/>
          </w:tcPr>
          <w:p>
            <w:pPr>
              <w:spacing w:after="0"/>
              <w:rPr>
                <w:sz w:val="15"/>
                <w:szCs w:val="15"/>
                <w:color w:val="auto"/>
              </w:rPr>
            </w:pPr>
          </w:p>
        </w:tc>
      </w:tr>
      <w:tr>
        <w:trPr>
          <w:trHeight w:val="180"/>
        </w:trPr>
        <w:tc>
          <w:tcPr>
            <w:tcW w:w="440" w:type="dxa"/>
            <w:vAlign w:val="bottom"/>
          </w:tcPr>
          <w:p>
            <w:pPr>
              <w:spacing w:after="0"/>
              <w:rPr>
                <w:sz w:val="15"/>
                <w:szCs w:val="15"/>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and Sale Agreement</w:t>
            </w:r>
          </w:p>
        </w:tc>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 and sale agreement with funds managed by RTW Investments LP</w:t>
            </w:r>
          </w:p>
        </w:tc>
        <w:tc>
          <w:tcPr>
            <w:tcW w:w="420" w:type="dxa"/>
            <w:vAlign w:val="bottom"/>
          </w:tcPr>
          <w:p>
            <w:pPr>
              <w:spacing w:after="0"/>
              <w:rPr>
                <w:sz w:val="15"/>
                <w:szCs w:val="15"/>
                <w:color w:val="auto"/>
              </w:rPr>
            </w:pPr>
          </w:p>
        </w:tc>
      </w:tr>
      <w:tr>
        <w:trPr>
          <w:trHeight w:val="180"/>
        </w:trPr>
        <w:tc>
          <w:tcPr>
            <w:tcW w:w="440" w:type="dxa"/>
            <w:vAlign w:val="bottom"/>
          </w:tcPr>
          <w:p>
            <w:pPr>
              <w:spacing w:after="0"/>
              <w:rPr>
                <w:sz w:val="15"/>
                <w:szCs w:val="15"/>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Purchaser</w:t>
            </w:r>
          </w:p>
        </w:tc>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RTW Investments LP</w:t>
            </w:r>
          </w:p>
        </w:tc>
        <w:tc>
          <w:tcPr>
            <w:tcW w:w="420" w:type="dxa"/>
            <w:vAlign w:val="bottom"/>
          </w:tcPr>
          <w:p>
            <w:pPr>
              <w:spacing w:after="0"/>
              <w:rPr>
                <w:sz w:val="15"/>
                <w:szCs w:val="15"/>
                <w:color w:val="auto"/>
              </w:rPr>
            </w:pPr>
          </w:p>
        </w:tc>
      </w:tr>
      <w:tr>
        <w:trPr>
          <w:trHeight w:val="180"/>
        </w:trPr>
        <w:tc>
          <w:tcPr>
            <w:tcW w:w="440" w:type="dxa"/>
            <w:vAlign w:val="bottom"/>
          </w:tcPr>
          <w:p>
            <w:pPr>
              <w:spacing w:after="0"/>
              <w:rPr>
                <w:sz w:val="15"/>
                <w:szCs w:val="15"/>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Price</w:t>
            </w:r>
          </w:p>
        </w:tc>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$75,000</w:t>
            </w:r>
          </w:p>
        </w:tc>
        <w:tc>
          <w:tcPr>
            <w:tcW w:w="420" w:type="dxa"/>
            <w:vAlign w:val="bottom"/>
          </w:tcPr>
          <w:p>
            <w:pPr>
              <w:spacing w:after="0"/>
              <w:rPr>
                <w:sz w:val="15"/>
                <w:szCs w:val="15"/>
                <w:color w:val="auto"/>
              </w:rPr>
            </w:pPr>
          </w:p>
        </w:tc>
      </w:tr>
      <w:tr>
        <w:trPr>
          <w:trHeight w:val="180"/>
        </w:trPr>
        <w:tc>
          <w:tcPr>
            <w:tcW w:w="440" w:type="dxa"/>
            <w:vAlign w:val="bottom"/>
          </w:tcPr>
          <w:p>
            <w:pPr>
              <w:spacing w:after="0"/>
              <w:rPr>
                <w:sz w:val="15"/>
                <w:szCs w:val="15"/>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R&amp;D</w:t>
            </w:r>
          </w:p>
        </w:tc>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420" w:type="dxa"/>
            <w:vAlign w:val="bottom"/>
          </w:tcPr>
          <w:p>
            <w:pPr>
              <w:spacing w:after="0"/>
              <w:rPr>
                <w:sz w:val="15"/>
                <w:szCs w:val="15"/>
                <w:color w:val="auto"/>
              </w:rPr>
            </w:pPr>
          </w:p>
        </w:tc>
      </w:tr>
      <w:tr>
        <w:trPr>
          <w:trHeight w:val="180"/>
        </w:trPr>
        <w:tc>
          <w:tcPr>
            <w:tcW w:w="440" w:type="dxa"/>
            <w:vAlign w:val="bottom"/>
          </w:tcPr>
          <w:p>
            <w:pPr>
              <w:spacing w:after="0"/>
              <w:rPr>
                <w:sz w:val="15"/>
                <w:szCs w:val="15"/>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REMS</w:t>
            </w:r>
          </w:p>
        </w:tc>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Risk Evaluation and Mitigation Strategy</w:t>
            </w:r>
          </w:p>
        </w:tc>
        <w:tc>
          <w:tcPr>
            <w:tcW w:w="420" w:type="dxa"/>
            <w:vAlign w:val="bottom"/>
          </w:tcPr>
          <w:p>
            <w:pPr>
              <w:spacing w:after="0"/>
              <w:rPr>
                <w:sz w:val="15"/>
                <w:szCs w:val="15"/>
                <w:color w:val="auto"/>
              </w:rPr>
            </w:pPr>
          </w:p>
        </w:tc>
      </w:tr>
      <w:tr>
        <w:trPr>
          <w:trHeight w:val="180"/>
        </w:trPr>
        <w:tc>
          <w:tcPr>
            <w:tcW w:w="440" w:type="dxa"/>
            <w:vAlign w:val="bottom"/>
          </w:tcPr>
          <w:p>
            <w:pPr>
              <w:spacing w:after="0"/>
              <w:rPr>
                <w:sz w:val="15"/>
                <w:szCs w:val="15"/>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Royalty Obligations</w:t>
            </w:r>
          </w:p>
        </w:tc>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Liability related to the Royalty Rights Agreements</w:t>
            </w:r>
          </w:p>
        </w:tc>
        <w:tc>
          <w:tcPr>
            <w:tcW w:w="420" w:type="dxa"/>
            <w:vAlign w:val="bottom"/>
          </w:tcPr>
          <w:p>
            <w:pPr>
              <w:spacing w:after="0"/>
              <w:rPr>
                <w:sz w:val="15"/>
                <w:szCs w:val="15"/>
                <w:color w:val="auto"/>
              </w:rPr>
            </w:pPr>
          </w:p>
        </w:tc>
      </w:tr>
      <w:tr>
        <w:trPr>
          <w:trHeight w:val="180"/>
        </w:trPr>
        <w:tc>
          <w:tcPr>
            <w:tcW w:w="440" w:type="dxa"/>
            <w:vAlign w:val="bottom"/>
          </w:tcPr>
          <w:p>
            <w:pPr>
              <w:spacing w:after="0"/>
              <w:rPr>
                <w:sz w:val="15"/>
                <w:szCs w:val="15"/>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Royalty Rights Agreements</w:t>
            </w:r>
          </w:p>
        </w:tc>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Royalty Rights Agreements, component of 13.5% Senior Secured Notes</w:t>
            </w:r>
          </w:p>
        </w:tc>
        <w:tc>
          <w:tcPr>
            <w:tcW w:w="420" w:type="dxa"/>
            <w:vAlign w:val="bottom"/>
          </w:tcPr>
          <w:p>
            <w:pPr>
              <w:spacing w:after="0"/>
              <w:rPr>
                <w:sz w:val="15"/>
                <w:szCs w:val="15"/>
                <w:color w:val="auto"/>
              </w:rPr>
            </w:pPr>
          </w:p>
        </w:tc>
      </w:tr>
      <w:tr>
        <w:trPr>
          <w:trHeight w:val="180"/>
        </w:trPr>
        <w:tc>
          <w:tcPr>
            <w:tcW w:w="440" w:type="dxa"/>
            <w:vAlign w:val="bottom"/>
          </w:tcPr>
          <w:p>
            <w:pPr>
              <w:spacing w:after="0"/>
              <w:rPr>
                <w:sz w:val="15"/>
                <w:szCs w:val="15"/>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RTW</w:t>
            </w:r>
          </w:p>
        </w:tc>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RTW Investments, L.P</w:t>
            </w:r>
          </w:p>
        </w:tc>
        <w:tc>
          <w:tcPr>
            <w:tcW w:w="420" w:type="dxa"/>
            <w:vAlign w:val="bottom"/>
          </w:tcPr>
          <w:p>
            <w:pPr>
              <w:spacing w:after="0"/>
              <w:rPr>
                <w:sz w:val="15"/>
                <w:szCs w:val="15"/>
                <w:color w:val="auto"/>
              </w:rPr>
            </w:pPr>
          </w:p>
        </w:tc>
      </w:tr>
      <w:tr>
        <w:trPr>
          <w:trHeight w:val="180"/>
        </w:trPr>
        <w:tc>
          <w:tcPr>
            <w:tcW w:w="440" w:type="dxa"/>
            <w:vAlign w:val="bottom"/>
          </w:tcPr>
          <w:p>
            <w:pPr>
              <w:spacing w:after="0"/>
              <w:rPr>
                <w:sz w:val="15"/>
                <w:szCs w:val="15"/>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RSU</w:t>
            </w:r>
          </w:p>
        </w:tc>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Restricted Stock Unit</w:t>
            </w:r>
          </w:p>
        </w:tc>
        <w:tc>
          <w:tcPr>
            <w:tcW w:w="420" w:type="dxa"/>
            <w:vAlign w:val="bottom"/>
          </w:tcPr>
          <w:p>
            <w:pPr>
              <w:spacing w:after="0"/>
              <w:rPr>
                <w:sz w:val="15"/>
                <w:szCs w:val="15"/>
                <w:color w:val="auto"/>
              </w:rPr>
            </w:pPr>
          </w:p>
        </w:tc>
      </w:tr>
      <w:tr>
        <w:trPr>
          <w:trHeight w:val="180"/>
        </w:trPr>
        <w:tc>
          <w:tcPr>
            <w:tcW w:w="440" w:type="dxa"/>
            <w:vAlign w:val="bottom"/>
          </w:tcPr>
          <w:p>
            <w:pPr>
              <w:spacing w:after="0"/>
              <w:rPr>
                <w:sz w:val="15"/>
                <w:szCs w:val="15"/>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SEC</w:t>
            </w:r>
          </w:p>
        </w:tc>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Securities and Exchange Commission</w:t>
            </w:r>
          </w:p>
        </w:tc>
        <w:tc>
          <w:tcPr>
            <w:tcW w:w="420" w:type="dxa"/>
            <w:vAlign w:val="bottom"/>
          </w:tcPr>
          <w:p>
            <w:pPr>
              <w:spacing w:after="0"/>
              <w:rPr>
                <w:sz w:val="15"/>
                <w:szCs w:val="15"/>
                <w:color w:val="auto"/>
              </w:rPr>
            </w:pPr>
          </w:p>
        </w:tc>
      </w:tr>
      <w:tr>
        <w:trPr>
          <w:trHeight w:val="180"/>
        </w:trPr>
        <w:tc>
          <w:tcPr>
            <w:tcW w:w="440" w:type="dxa"/>
            <w:vAlign w:val="bottom"/>
          </w:tcPr>
          <w:p>
            <w:pPr>
              <w:spacing w:after="0"/>
              <w:rPr>
                <w:sz w:val="15"/>
                <w:szCs w:val="15"/>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 Purchase Agreements</w:t>
            </w:r>
          </w:p>
        </w:tc>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Securities Purchase Agreements with certain purchasers entered into on June 6, 2022</w:t>
            </w:r>
          </w:p>
        </w:tc>
        <w:tc>
          <w:tcPr>
            <w:tcW w:w="420" w:type="dxa"/>
            <w:vAlign w:val="bottom"/>
          </w:tcPr>
          <w:p>
            <w:pPr>
              <w:spacing w:after="0"/>
              <w:rPr>
                <w:sz w:val="15"/>
                <w:szCs w:val="15"/>
                <w:color w:val="auto"/>
              </w:rPr>
            </w:pPr>
          </w:p>
        </w:tc>
      </w:tr>
      <w:tr>
        <w:trPr>
          <w:trHeight w:val="180"/>
        </w:trPr>
        <w:tc>
          <w:tcPr>
            <w:tcW w:w="440" w:type="dxa"/>
            <w:vAlign w:val="bottom"/>
          </w:tcPr>
          <w:p>
            <w:pPr>
              <w:spacing w:after="0"/>
              <w:rPr>
                <w:sz w:val="15"/>
                <w:szCs w:val="15"/>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Sunovion</w:t>
            </w:r>
          </w:p>
        </w:tc>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Sunovion Pharmaceuticals Inc</w:t>
            </w:r>
          </w:p>
        </w:tc>
        <w:tc>
          <w:tcPr>
            <w:tcW w:w="420" w:type="dxa"/>
            <w:vAlign w:val="bottom"/>
          </w:tcPr>
          <w:p>
            <w:pPr>
              <w:spacing w:after="0"/>
              <w:rPr>
                <w:sz w:val="15"/>
                <w:szCs w:val="15"/>
                <w:color w:val="auto"/>
              </w:rPr>
            </w:pPr>
          </w:p>
        </w:tc>
      </w:tr>
      <w:tr>
        <w:trPr>
          <w:trHeight w:val="180"/>
        </w:trPr>
        <w:tc>
          <w:tcPr>
            <w:tcW w:w="440" w:type="dxa"/>
            <w:vAlign w:val="bottom"/>
          </w:tcPr>
          <w:p>
            <w:pPr>
              <w:spacing w:after="0"/>
              <w:rPr>
                <w:sz w:val="15"/>
                <w:szCs w:val="15"/>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Sunovion License Agreement</w:t>
            </w:r>
          </w:p>
        </w:tc>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KYNMOBI Commercialization Agreement</w:t>
            </w:r>
          </w:p>
        </w:tc>
        <w:tc>
          <w:tcPr>
            <w:tcW w:w="420" w:type="dxa"/>
            <w:vAlign w:val="bottom"/>
          </w:tcPr>
          <w:p>
            <w:pPr>
              <w:spacing w:after="0"/>
              <w:rPr>
                <w:sz w:val="15"/>
                <w:szCs w:val="15"/>
                <w:color w:val="auto"/>
              </w:rPr>
            </w:pPr>
          </w:p>
        </w:tc>
      </w:tr>
      <w:tr>
        <w:trPr>
          <w:trHeight w:val="138"/>
        </w:trPr>
        <w:tc>
          <w:tcPr>
            <w:tcW w:w="440" w:type="dxa"/>
            <w:vAlign w:val="bottom"/>
          </w:tcPr>
          <w:p>
            <w:pPr>
              <w:spacing w:after="0"/>
              <w:rPr>
                <w:sz w:val="11"/>
                <w:szCs w:val="11"/>
                <w:color w:val="auto"/>
              </w:rPr>
            </w:pPr>
          </w:p>
        </w:tc>
        <w:tc>
          <w:tcPr>
            <w:tcW w:w="204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Territory</w:t>
            </w:r>
          </w:p>
        </w:tc>
        <w:tc>
          <w:tcPr>
            <w:tcW w:w="8380" w:type="dxa"/>
            <w:vAlign w:val="bottom"/>
          </w:tcPr>
          <w:p>
            <w:pPr>
              <w:ind w:left="220"/>
              <w:spacing w:after="0" w:line="138" w:lineRule="exact"/>
              <w:rPr>
                <w:sz w:val="20"/>
                <w:szCs w:val="20"/>
                <w:color w:val="auto"/>
              </w:rPr>
            </w:pPr>
            <w:r>
              <w:rPr>
                <w:rFonts w:ascii="Times New Roman" w:cs="Times New Roman" w:eastAsia="Times New Roman" w:hAnsi="Times New Roman"/>
                <w:sz w:val="14"/>
                <w:szCs w:val="14"/>
                <w:color w:val="auto"/>
              </w:rPr>
              <w:t>Certain countries of the European Union, the United Kingdom, Switzerland, Norway and the Middle East and North Africa under the</w:t>
            </w:r>
          </w:p>
        </w:tc>
        <w:tc>
          <w:tcPr>
            <w:tcW w:w="420" w:type="dxa"/>
            <w:vAlign w:val="bottom"/>
          </w:tcPr>
          <w:p>
            <w:pPr>
              <w:spacing w:after="0"/>
              <w:rPr>
                <w:sz w:val="11"/>
                <w:szCs w:val="11"/>
                <w:color w:val="auto"/>
              </w:rPr>
            </w:pPr>
          </w:p>
        </w:tc>
      </w:tr>
      <w:tr>
        <w:trPr>
          <w:trHeight w:val="184"/>
        </w:trPr>
        <w:tc>
          <w:tcPr>
            <w:tcW w:w="4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8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Pharmanovia Agreement</w:t>
            </w:r>
          </w:p>
        </w:tc>
      </w:tr>
      <w:tr>
        <w:trPr>
          <w:trHeight w:val="187"/>
        </w:trPr>
        <w:tc>
          <w:tcPr>
            <w:tcW w:w="440" w:type="dxa"/>
            <w:vAlign w:val="bottom"/>
          </w:tcPr>
          <w:p>
            <w:pPr>
              <w:spacing w:after="0"/>
              <w:rPr>
                <w:sz w:val="16"/>
                <w:szCs w:val="16"/>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TGA</w:t>
            </w:r>
          </w:p>
        </w:tc>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Australian Government Department of Health’s Therapeutics Goods Administration</w:t>
            </w:r>
          </w:p>
        </w:tc>
        <w:tc>
          <w:tcPr>
            <w:tcW w:w="420" w:type="dxa"/>
            <w:vAlign w:val="bottom"/>
          </w:tcPr>
          <w:p>
            <w:pPr>
              <w:spacing w:after="0"/>
              <w:rPr>
                <w:sz w:val="16"/>
                <w:szCs w:val="16"/>
                <w:color w:val="auto"/>
              </w:rPr>
            </w:pPr>
          </w:p>
        </w:tc>
      </w:tr>
      <w:tr>
        <w:trPr>
          <w:trHeight w:val="180"/>
        </w:trPr>
        <w:tc>
          <w:tcPr>
            <w:tcW w:w="440" w:type="dxa"/>
            <w:vAlign w:val="bottom"/>
          </w:tcPr>
          <w:p>
            <w:pPr>
              <w:spacing w:after="0"/>
              <w:rPr>
                <w:sz w:val="15"/>
                <w:szCs w:val="15"/>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Zambon</w:t>
            </w:r>
          </w:p>
        </w:tc>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Zambon S.p.A.</w:t>
            </w:r>
          </w:p>
        </w:tc>
        <w:tc>
          <w:tcPr>
            <w:tcW w:w="420" w:type="dxa"/>
            <w:vAlign w:val="bottom"/>
          </w:tcPr>
          <w:p>
            <w:pPr>
              <w:spacing w:after="0"/>
              <w:rPr>
                <w:sz w:val="15"/>
                <w:szCs w:val="15"/>
                <w:color w:val="auto"/>
              </w:rPr>
            </w:pPr>
          </w:p>
        </w:tc>
      </w:tr>
      <w:tr>
        <w:trPr>
          <w:trHeight w:val="180"/>
        </w:trPr>
        <w:tc>
          <w:tcPr>
            <w:tcW w:w="440" w:type="dxa"/>
            <w:vAlign w:val="bottom"/>
          </w:tcPr>
          <w:p>
            <w:pPr>
              <w:spacing w:after="0"/>
              <w:rPr>
                <w:sz w:val="15"/>
                <w:szCs w:val="15"/>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Zevra</w:t>
            </w:r>
          </w:p>
        </w:tc>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Zevra Therapeutics, Inc. (formerly KemPharm, Inc.)</w:t>
            </w:r>
          </w:p>
        </w:tc>
        <w:tc>
          <w:tcPr>
            <w:tcW w:w="420" w:type="dxa"/>
            <w:vAlign w:val="bottom"/>
          </w:tcPr>
          <w:p>
            <w:pPr>
              <w:spacing w:after="0"/>
              <w:rPr>
                <w:sz w:val="15"/>
                <w:szCs w:val="15"/>
                <w:color w:val="auto"/>
              </w:rPr>
            </w:pPr>
          </w:p>
        </w:tc>
      </w:tr>
      <w:tr>
        <w:trPr>
          <w:trHeight w:val="765"/>
        </w:trPr>
        <w:tc>
          <w:tcPr>
            <w:tcW w:w="4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83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This Annual Report on Form 10-K and certain other communications made by us include forward-looking statements within the meaning of the Private Securities Litigation Reform Act of 1995. Words such as “believe,” “anticipate,” “plan,” “expect,” “estimate,” “intend,” “may,” “will,” or the negative of those terms, and similar expressions, are intended to identify forward-looking statements.</w:t>
      </w:r>
    </w:p>
    <w:p>
      <w:pPr>
        <w:spacing w:after="0" w:line="3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These forward-looking statements include, but are not limited to, statements regarding the advancement and related timing of our product candidate Anaphylm™ (dibutepinephrine) Sublingual Film through clinical development and approval by the FDA, including our ability to address the concerns raised by the FDA in the CRL dated January 30, 2026, and for the FDA to approve Anaphylm or whether the FDA may request further information from us, disagree with our findings or otherwise undertake a lengthy review of our resubmission, and challenges regarding the following commercial launch of Anaphylm, if approved by the FDA; the advancement and related timing of potential international regulatory filings and marketing authorization of Anaphylm outside of the U.S.; that Anaphylm’s potential to be the first and only oral administration of epinephrine and to be accepted as an alternative to existing standards of care, if approved by the FDA; the expected growth of the U.S. epinephrine market including in value and the opportunity such growth presents to the Company should Anaphylm be approved by the FDA; the potential benefits Anaphylm could bring to patients, if approved by the FDA; the advancement, growth and related timing of our Adrenaverse™ pipeline epinephrine prodrug product candidates, including AQST-108 (epinephrine) Topical Gel, through clinical development and FDA regulatory approval process, including design and timing of clinical studies including those necessary to support the targeted indication of alopecia areata for AQST-108; the potential sale or outlicensing of Anaphylm, Libervant or other product candidates; the advancement and related timing of our product candidate Libervant® (diazepam) Buccal Film for the indicated epilepsy patient population aged between 6 and 11 years through clinical development and FDA regulatory approval and the following launch of Libervant for this patient population if approved by the FDA; the approval for U.S. market access of Libervant for the epilepsy patient population aged 6 years and older and overcoming the orphan drug market exclusivity of an FDA approved nasal spray product of another company extending to January 2027 for these patients; the commercial opportunity of Libervant, Anaphylm, AQST-108 and our other product candidates, including potential revenues (including projected peak annual sales) generated from commercialization of these products, should these product candidates be approved by the FDA; the focus on continuing to manufacture Suboxone®, Emylif®, Sympazan®, Ondif® and other licensed products; the potential growth of our patent portfolio including the extension of patent protection for Anaphylm should the pending patents be approved by the PTO; the potential benefits our products and product candidates could bring to patients; the achievement of clinical and commercial milestones, product orders and fulfillment; our cash requirements, cash funding and cash burn; short-term and longer term liquidity and the ability to fund our business operations; our growth and future financial and operating results and financial position, including with respect to our 2026 financial outlook; and business strategies, market opportunities, and other statements that are not historical facts.</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These forward-looking statements are based on our current expectations and beliefs and are subject to a number of risks and uncertainties that could cause actual results to differ materially from those described in the forward-looking statements. Such risks and uncertainties include, but are not limited to, risks associated with our development work, including any delays or changes to the timing, cost and success of our product development activities and clinical trials and plans, including those relating to Anaphylm, AQST-108, and our other product candidates; risk of delays in advancement of the regulatory approval process through the FDA of our product candidates, including the filing of the respective NDAs, for Anaphylm, AQST-108, Libervant for patients aged between 6 and 11 and other product candidates, or failure to receive FDA approval at all of any of these product candidates; risk of FDA inspections of manufacturing and clinical study sites for any of our product candidates, including Anaphylm; risk of government shutdowns or actions to reduce government workforces on the ability of the FDA to act on the approval of our product candidates, including Anaphylm; risk of the Company’s ability to generate sufficient clinical and other human factor data, including with respect to our submission of PK/PD comparability data for FDA approval of Anaphylm; risks associated with our ability to address the FDA’s comments on and identified deficiencies in our NDA, including the concerns raised by the FDA in the Complete Response Letter dated January 30 2026 issued to the Company for approval of Anaphylm; risks associated with the success of any competing products, including generics; risks and uncertainties inherent in commercializing a new product (including technology risks, financial risks, market risks and implementation risks and regulatory limitations); risk of development of a sales and marketing capability for commercialization of our product candidates, including Anaphylm, if approved by the FDA; risks associated with the potential impact on the value of the Company of the sale or outlicensing of our product and product candidates, including Libervant and Anaphylm and other product candidates; risk of insufficient capital and cash resources, including insufficient access to available debt and equity financing, including under our ATM facility, and revenues from operations, to satisfy all of our short-term and longer-term liquidity and cash requirements to support our growth strategy, and other cash needs, at the times and in the amounts needed, including to commence principal payments on our 13.5% Senior Secured Notes in 2026, and to fund future clinical development and commercial activities for our product candidates, including Anaphylm, AQST-108 and Libervant should these product candidates be approved by the FDA; risk of the impact of our obligations under the Company's Purchase Agreement and the Royalty Rights Agreement with third parties, each of which agreements requires the Company to make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payments to each counterparty thereof, respectively, of a portion of our revenues, on our ability to contribute to the funding of our operations and the payment of principal and interest on our debt; the risk of our obligations under such Purchase Agreement relating to the Company’s 13.5% Senior Secured Notes and Royalty Rights Agreement impacting our ability to refinance our 13.5% Senior Secured Notes; risk that our manufacturing capabilities will be insufficient to support demand of our product candidates in the U.S. and abroad, including Anaphylm, if such product candidates should be approved by the FDA and other regulatory authorities, and our licensed products in the U.S. and abroad; risk of eroding market share for Suboxone® as a sunsetting product, which accounts for a substantial part of our current operating revenue; risk of default of our debt instruments; risks related to the outsourcing of certain sales, marketing and other operational and staff functions to third parties; risk of the rate and degree of market acceptance in the U.S. and abroad of Anaphylm, AQST-108, Libervant and our other product candidates, should these product candidates be approved by the FDA and other regulatory authorities, and for our licensed products in the U.S. and abroad; risk associated with the size and growth of our product markets; risk associated with our compliance with all FDA and other governmental and customer requirements for our manufacturing facilities; risks associated with intellectual property rights and infringement claims relating to our products; risk that our patent applications for our product candidates, including for Anaphylm, will not be timely issued, or issued at all, by the PTO or, if issued, will be sufficient to provide long-term commercial success of these product candidates; risk of unexpected patent developments; risk of legislation and regulatory actions and changes in laws or regulations affecting our business, including relating to our products and product candidates and product pricing, reimbursement or access therefor; risk of loss of significant customers; risks related to claims and legal proceedings against us including patent infringement, securities, business torts, investigative, product safety or efficacy and antitrust litigation matters; risk of product recalls and withdrawals; risks related to any disruptions in our information technology networks and systems, including the impact of cybersecurity attacks; risk of increased cybersecurity attacks and data accessibility disruptions due to remote working arrangements; risk of adverse developments affecting the financial services industry; risks related to inflation and changing interest rates; risks related to the impact of pandemic diseases on our business; risks and uncertainties related to general economic, political (including the Ukraine and Israel wars and other acts of war and terrorism), business, industry, regulatory, financial and market conditions and other unusual items; risks related to uncertainty about presidential administration initiatives and their impact on our business, including imposition of government tariffs and other trade restrictions; and other uncertainties affecting the Company including those described in the "Risk Factors" section and in other sections included in this Annual Report on Form 10-K, in our Quarterly Reports on Form 10-Q, and in our Current Reports on Form 8-K filed with the SEC. Given these uncertainties, you should not place undue reliance on these forward-looking statements, which speak only as of the date made. All subsequent forward-looking statements attributable to us or any person acting on our behalf are expressly qualified in their entirety by this cautionary statement. We assume no obligation to update forward-looking statements, or outlook or guidance after the date of this Annual Report on Form 10-K, whether as a result of new information, future events or otherwise, except as may be required by applicable law. Readers should not rely on the forward-looking statements included in this Annual Report on Form 10-K as representing our views as of any date after the date of the filing of this Annual Report on Form 10-K.</w:t>
      </w:r>
    </w:p>
    <w:p>
      <w:pPr>
        <w:spacing w:after="0" w:line="16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These forward-looking statements involve known and unknown risks, uncertainties and other factors that may cause our actual results, levels of activity, performance or achievements to differ materially from those expressed or implied by these statements. These factors include the matters discussed and referenced in Part I-Item 1A. Risk Factors of this Form 10-K.</w:t>
      </w:r>
    </w:p>
    <w:p>
      <w:pPr>
        <w:spacing w:after="0" w:line="3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Unless the context requires otherwise, references in this Annual Report on Form 10-K to “Aquestive,” the "Company,” “we,” “us,” and “our” refer to Aquestive Therapeutics, Inc. and its subsidiaries.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8" w:name="page9"/>
    <w:bookmarkEnd w:id="8"/>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3"/>
          <w:szCs w:val="13"/>
          <w:b w:val="1"/>
          <w:bCs w:val="1"/>
          <w:color w:val="auto"/>
        </w:rPr>
        <w:t>Business Overview</w:t>
      </w:r>
    </w:p>
    <w:p>
      <w:pPr>
        <w:spacing w:after="0" w:line="9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Aquestive is a pharmaceutical company advancing medicines to bring meaningful improvement to patients' lives through innovative science and delivery technologies. We are developing pharmaceutical products to deliver complex molecules through administrations that are alternatives to invasive and inconvenient standard of care therapies. We are advancing our late stage non-device based epinephrine prodrug product candidate for the treatment of severe allergic reactions, including anaphylaxis, under the "Anaphylm™" trade name, and our AdrenaVerse™ epinephrine prodrug pipeline platform. We have four licensed commercialized products which are marketed by our licensees in the U.S. and around the world. We are the exclusive manufacturer of these licensed products. Aquestive also collaborates with pharmaceutical companies to bring new molecules to market using proprietary, best-in-class technologies, like PharmFilm</w:t>
      </w:r>
      <w:r>
        <w:rPr>
          <w:rFonts w:ascii="Arial" w:cs="Arial" w:eastAsia="Arial" w:hAnsi="Arial"/>
          <w:sz w:val="14"/>
          <w:szCs w:val="14"/>
          <w:color w:val="auto"/>
        </w:rPr>
        <w:t>®</w:t>
      </w:r>
      <w:r>
        <w:rPr>
          <w:rFonts w:ascii="Times New Roman" w:cs="Times New Roman" w:eastAsia="Times New Roman" w:hAnsi="Times New Roman"/>
          <w:sz w:val="14"/>
          <w:szCs w:val="14"/>
          <w:color w:val="auto"/>
        </w:rPr>
        <w:t>, and has proven drug development and commercialization capabilities. Our production facilities are located in Portage, Indiana, and our corporate headquarters and primary research laboratory facilities are based in Warren, New Jersey.</w:t>
      </w:r>
    </w:p>
    <w:p>
      <w:pPr>
        <w:spacing w:after="0" w:line="230"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manufacture licensed products at our facilities and anticipate that our current manufacturing capacity is sufficient for commercial quantities of our licensed products and proprietary product candidates currently in development. Our facilities have been inspected by the FDA, TGA, and DEA, and are subject to inspection by all applicable health agencies, including ANVISA and EMA. Not all proprietary or collaborative or licensed products of the Company that may be commercially launched in the future will necessarily be manufactured by us.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PharmFilm® – Our Oral Film Technology</w:t>
      </w:r>
    </w:p>
    <w:p>
      <w:pPr>
        <w:spacing w:after="0" w:line="9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We are presently the worldwide leader in oral film drug delivery and manufacturing, having historically supplied the substantial majority of the world’s oral films for prescription pharmaceutical use and having shipped more than two billion doses to patients worldwide. We developed our PharmFilm technology to provide meaningful clinical and therapeutic advantages over other existing dosage forms and, in turn, to improve the lives of patients and caregivers. PharmFilm is comprised of proprietary polymer compositions that serve as film formers to APIs and excipients in place. Proprietary and patent-protected compositions, formulations and manufacturing techniques and technology, and methods of treatment are employed to ensure that the API is distributed uniformly throughout the film and that target absorption levels are achieved. Our proprietary technology and manufacturing processes enable PharmFilm to be engineered to fit a variety of target product profiles in order to best address unmet patient needs present within specific disease states. PharmFilm, which is similar in thickness and size to a postage stamp, can be administered via buccal, sublingual or lingual oral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48260</wp:posOffset>
            </wp:positionV>
            <wp:extent cx="3705225" cy="2694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05225" cy="2694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9" w:name="page10"/>
    <w:bookmarkEnd w:id="9"/>
    <w:p>
      <w:pPr>
        <w:ind w:firstLine="509"/>
        <w:spacing w:after="0" w:line="287" w:lineRule="auto"/>
        <w:rPr>
          <w:sz w:val="20"/>
          <w:szCs w:val="20"/>
          <w:color w:val="auto"/>
        </w:rPr>
      </w:pPr>
      <w:r>
        <w:rPr>
          <w:rFonts w:ascii="Times New Roman" w:cs="Times New Roman" w:eastAsia="Times New Roman" w:hAnsi="Times New Roman"/>
          <w:sz w:val="14"/>
          <w:szCs w:val="14"/>
          <w:color w:val="auto"/>
        </w:rPr>
        <w:t>We believe the innovative nature of our drug delivery platform has the potential to offer a number of meaningful advantages to patients, caregivers and physicians compared to current standard of care therapies, including:</w:t>
      </w:r>
    </w:p>
    <w:p>
      <w:pPr>
        <w:spacing w:after="0" w:line="39" w:lineRule="exact"/>
        <w:rPr>
          <w:sz w:val="20"/>
          <w:szCs w:val="20"/>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faster, or at least equivalent, onset of action;</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ease of administration and availability (no device required);</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absorption into the bloodstream reducing or avoiding “first pass” effects in the liver;</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gastrointestinal, or GI, side effects;</w:t>
      </w:r>
    </w:p>
    <w:p>
      <w:pPr>
        <w:spacing w:after="0" w:line="9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positive dosing outcomes, especially for patients with physical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dysphagia) or psychological barriers to other methods of drug administration;</w:t>
      </w:r>
    </w:p>
    <w:p>
      <w:pPr>
        <w:spacing w:after="0" w:line="95"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stable, durable, portable and quick dissolving (with or without water);</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customizable delivery routes for tailored PK profiles (buccal, sublingual or lingual); and</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customizable taste profiles.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w:t>
      </w:r>
      <w:r>
        <w:rPr>
          <w:rFonts w:ascii="Times New Roman" w:cs="Times New Roman" w:eastAsia="Times New Roman" w:hAnsi="Times New Roman"/>
          <w:sz w:val="14"/>
          <w:szCs w:val="14"/>
          <w:b w:val="1"/>
          <w:bCs w:val="1"/>
          <w:color w:val="auto"/>
        </w:rPr>
        <w:t>drenaVerse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Our Epinephrine Prodrug Platform Technology</w:t>
      </w:r>
    </w:p>
    <w:p>
      <w:pPr>
        <w:spacing w:after="0" w:line="85"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4"/>
          <w:szCs w:val="14"/>
          <w:color w:val="auto"/>
        </w:rPr>
        <w:t>Our AdrenaVerse™ platform contains a library of over twenty epinephrine prodrug product candidates intended to control absorption and conversion rates across a variety of possible dosage forms and delivery sites. Epinephrine plays a critical role in immune suppression but, until now, its role has been limited due to issues in the absorption and conversion of epinephrine in the human body. We believe that our AdrenaVerse platform has demonstrated the ability to harness the therapeutic potential of epinephrine through highly differentiated prodrug formulations, which can achieve absorption, provide sustained local exposure and reduce systemic exposure. The AdrenaVerse platform makes it possible to deliver epinephrine locally across mucosal surfaces and the skin and, therefore, we believe that it has the potential to yield multiple product candidates focused on treating a range of diseases. The Company’s pipeline includes Anaphylm™ (dibutepinephrine) sublingual film and AQST-108 (epinephrine) topical gel, which are both product candidates emerging from the Company’s AdrenaVerse epinephrine prodrug platform.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Product Portfolio and Pipeline</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outlines our proprietary growth drivers and licensed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68580</wp:posOffset>
            </wp:positionV>
            <wp:extent cx="4284980" cy="2081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84980" cy="208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4"/>
          <w:szCs w:val="14"/>
          <w:color w:val="auto"/>
        </w:rPr>
        <w:t>Libervant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Sympazan</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PharmFilm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the Aquestive logo are registered trademarks of Aquestive Therapeutics, Inc. All other registered trademarks referenced herein are the property of their respective owners. The FDA conditionally accepted the proprietary name Anaphylm™ (pronounced “ana-film”) as the proposed brand name for Anaphylm. Final approval of the Anaphylm proprietary name is conditioned on FDA approval of Anaphylm, if any.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color w:val="auto"/>
        </w:rPr>
        <w:t>Proprietary Growth Drivers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Complex Molecule Portfolio</w:t>
      </w:r>
    </w:p>
    <w:p>
      <w:pPr>
        <w:spacing w:after="0" w:line="96"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We have developed a proprietary pipeline of complex molecule-based product candidates as alternatives to invasively administered standard of care therapeutics addressing large market opportunities. The active programs in our complex molecule pipeline portfolio are:</w:t>
      </w:r>
    </w:p>
    <w:p>
      <w:pPr>
        <w:spacing w:after="0" w:line="36" w:lineRule="exact"/>
        <w:rPr>
          <w:sz w:val="20"/>
          <w:szCs w:val="20"/>
          <w:color w:val="auto"/>
        </w:rPr>
      </w:pPr>
    </w:p>
    <w:p>
      <w:pPr>
        <w:jc w:val="both"/>
        <w:ind w:left="520" w:hanging="260"/>
        <w:spacing w:after="0" w:line="237" w:lineRule="auto"/>
        <w:tabs>
          <w:tab w:leader="none" w:pos="516"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Anaphylm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(dibutepinephrine) sublingual film – the first and only non-device based, orally delivered epinephrine prodrug product candidate in development that has shown clinical results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comparable to auto-injectors (such as EpiPen</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Auvi-Q</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for the emergency treatment of allergic reactions, including anaphylaxis. Epinephrine is the standard of care in the treatment of anaphylaxis and is typically administered via intramuscular injection, including manual auto-injectors such as EpiPen and Auvi-Q, which require patients or their caregivers to inject epinephrine into the patient’s thigh during an emergency allergic reaction. As a result of this route of administration, many patients and their caregivers are reluctant to use injectable products. In August 2024, a nasal spray device was approved by the FDA for the treatment of severe allergic reactions, including anaphylaxis. However, Anaphylm would, if approved by the FDA, allow a patient to simply place a dissolvable strip, approximately the size and weight of a postage stamp, under the tongue, providing an appropriate medication where it is needed and when it is needed.</w:t>
      </w:r>
    </w:p>
    <w:p>
      <w:pPr>
        <w:spacing w:after="0" w:line="70" w:lineRule="exact"/>
        <w:rPr>
          <w:rFonts w:ascii="Times New Roman" w:cs="Times New Roman" w:eastAsia="Times New Roman" w:hAnsi="Times New Roman"/>
          <w:sz w:val="14"/>
          <w:szCs w:val="14"/>
          <w:b w:val="1"/>
          <w:bCs w:val="1"/>
          <w:color w:val="auto"/>
        </w:rPr>
      </w:pPr>
    </w:p>
    <w:p>
      <w:pPr>
        <w:ind w:left="5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i w:val="1"/>
          <w:iCs w:val="1"/>
          <w:color w:val="auto"/>
        </w:rPr>
        <w:t>Recent Regulatory Updates</w:t>
      </w:r>
    </w:p>
    <w:p>
      <w:pPr>
        <w:spacing w:after="0" w:line="95" w:lineRule="exact"/>
        <w:rPr>
          <w:rFonts w:ascii="Times New Roman" w:cs="Times New Roman" w:eastAsia="Times New Roman" w:hAnsi="Times New Roman"/>
          <w:sz w:val="14"/>
          <w:szCs w:val="14"/>
          <w:b w:val="1"/>
          <w:bCs w:val="1"/>
          <w:color w:val="auto"/>
        </w:rPr>
      </w:pPr>
    </w:p>
    <w:p>
      <w:pPr>
        <w:jc w:val="both"/>
        <w:ind w:left="520"/>
        <w:spacing w:after="0" w:line="26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Aquestive completed the Anaphylm NDA submission to the FDA in the first quarter of 2025. On June 16, 2025, the NDA submission was accepted by the FDA and a PDUFA target action date of January 31, 2026 was assigned. The Company was informed in September that the FDA would not hold an Advisory Committee meeting regarding the approval of Anaphylm. Throughout the review period the Company was engaged with and responded to information requests from the FDA. As the PDUFA data approached, the FDA notified the Company that it had identified deficiencies in the NDA that precluded discussion of labeling and post-marketing commitments and that the FDA review remained ongoing. The FDA did not provide further information about the deficiencies, despite the Company's efforts to be informed of and resolve the issues.</w:t>
      </w:r>
    </w:p>
    <w:p>
      <w:pPr>
        <w:spacing w:after="0" w:line="47" w:lineRule="exact"/>
        <w:rPr>
          <w:rFonts w:ascii="Times New Roman" w:cs="Times New Roman" w:eastAsia="Times New Roman" w:hAnsi="Times New Roman"/>
          <w:sz w:val="14"/>
          <w:szCs w:val="14"/>
          <w:b w:val="1"/>
          <w:bCs w:val="1"/>
          <w:color w:val="auto"/>
        </w:rPr>
      </w:pPr>
    </w:p>
    <w:p>
      <w:pPr>
        <w:jc w:val="both"/>
        <w:ind w:left="520"/>
        <w:spacing w:after="0" w:line="23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On January 30, 2026, the Company received a CRL that focused on administration and labeling guidance. The FDA cited deficiencies in the Anaphylm HF validation study. These included instances of difficulty opening the pouch and incorrect film placement which, if unaddressed, the FDA believes could cause significant safety issues in the setting of anaphylaxis. To resolve the FDA’s concerns, the Company has modified the pouch opening, instructions for use, pouch and carton labeling, and plans to conduct a new HF validation study with these modifications. The Company also plans to further address potential tolerability issues in its resubmission of the NDA. Clinical trial results submitted as part of the NDA regarding comparability to approved auto-injectors (</w:t>
      </w:r>
      <w:r>
        <w:rPr>
          <w:rFonts w:ascii="Times New Roman" w:cs="Times New Roman" w:eastAsia="Times New Roman" w:hAnsi="Times New Roman"/>
          <w:sz w:val="15"/>
          <w:szCs w:val="15"/>
          <w:color w:val="auto"/>
        </w:rPr>
        <w:t>such as EpiPen</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5"/>
          <w:szCs w:val="15"/>
          <w:color w:val="auto"/>
        </w:rPr>
        <w:t>and Auvi-Q</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5"/>
          <w:szCs w:val="15"/>
          <w:color w:val="auto"/>
        </w:rPr>
        <w:t>)</w:t>
      </w:r>
      <w:r>
        <w:rPr>
          <w:rFonts w:ascii="Times New Roman" w:cs="Times New Roman" w:eastAsia="Times New Roman" w:hAnsi="Times New Roman"/>
          <w:sz w:val="14"/>
          <w:szCs w:val="14"/>
          <w:color w:val="auto"/>
        </w:rPr>
        <w:t>, such as bracketing, repeat dose, and sustainability, were not questioned in the CRL. In addition, there were also no CMC issues noted in the CRL. Due to the requirements related to HF, FDA's clinical pharmacology division requested a single PK study to understand the impact of any modifications to packaging and labeling. The Agency indicated that the HF and PK studies can be conducted in parallel. No additional studies were requested in the CRL. The Company plans to closely work with the Agency to achieve approval for Anaphylm as expeditiously as possible. As an initial step, the Company requested a Type A meeting with the FDA to discuss the most efficient path forward for resubmission. Based on its initial review of the CRL, the Company estimates resubmission of the NDA in Q3 2026, assuming completion of the HF and PK studies and expected typical response times from the FDA. The Company plans to request accelerated review of the resubmission by the FDA, but no expedited review by the FDA can be guaranteed.</w:t>
      </w:r>
    </w:p>
    <w:p>
      <w:pPr>
        <w:spacing w:after="0" w:line="182" w:lineRule="exact"/>
        <w:rPr>
          <w:rFonts w:ascii="Times New Roman" w:cs="Times New Roman" w:eastAsia="Times New Roman" w:hAnsi="Times New Roman"/>
          <w:sz w:val="14"/>
          <w:szCs w:val="14"/>
          <w:b w:val="1"/>
          <w:bCs w:val="1"/>
          <w:color w:val="auto"/>
        </w:rPr>
      </w:pPr>
    </w:p>
    <w:p>
      <w:pPr>
        <w:jc w:val="both"/>
        <w:ind w:left="520"/>
        <w:spacing w:after="0" w:line="264"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is concurrently pursuing regulatory strategies outside the United States. The Company received positive feedback from the EMA that no further clinical trials are needed prior to regulatory approval submission. Aquestive is working towards submission of its marketing authorization application in Europe as well as its NDS in Canada in 2026. The Company also expects to receive feedback from the MHRA in the United Kingdom in the coming weeks. The Company believes that these markets represent important opportunities to expand access to the Company's non-invasive epinephrine therapy globally.</w:t>
      </w:r>
    </w:p>
    <w:p>
      <w:pPr>
        <w:spacing w:after="0" w:line="53" w:lineRule="exact"/>
        <w:rPr>
          <w:rFonts w:ascii="Times New Roman" w:cs="Times New Roman" w:eastAsia="Times New Roman" w:hAnsi="Times New Roman"/>
          <w:sz w:val="14"/>
          <w:szCs w:val="14"/>
          <w:b w:val="1"/>
          <w:bCs w:val="1"/>
          <w:color w:val="auto"/>
        </w:rPr>
      </w:pPr>
    </w:p>
    <w:p>
      <w:pPr>
        <w:ind w:left="5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i w:val="1"/>
          <w:iCs w:val="1"/>
          <w:color w:val="auto"/>
        </w:rPr>
        <w:t>Clinical Development of Anaphylm</w:t>
      </w:r>
    </w:p>
    <w:p>
      <w:pPr>
        <w:spacing w:after="0" w:line="95" w:lineRule="exact"/>
        <w:rPr>
          <w:rFonts w:ascii="Times New Roman" w:cs="Times New Roman" w:eastAsia="Times New Roman" w:hAnsi="Times New Roman"/>
          <w:sz w:val="14"/>
          <w:szCs w:val="14"/>
          <w:b w:val="1"/>
          <w:bCs w:val="1"/>
          <w:color w:val="auto"/>
        </w:rPr>
      </w:pPr>
    </w:p>
    <w:p>
      <w:pPr>
        <w:jc w:val="both"/>
        <w:ind w:left="520"/>
        <w:spacing w:after="0" w:line="26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believes that the original Anaphylm NDA submission is supported by a comprehensive clinical development program consisting of eleven independent clinical studies with approximately 967 total administrations across 411 subjects, including 840 single-dose and 127 repeat-dose exposures of Anaphylm. As part of the clinical development program, Aquestive conducted a first-of-its-kind oral allergy syndrome study, which demonstrated Anaphylm's performance in a real-world, allergen-induced setting. The program demonstrated that Anaphylm delivers a PK profile comparable to the leading epinephrine auto-injectors. These studies showed that Anaphylm was generally well-tolerated and had a safety profile similar to that of epinephrine.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1" w:name="page12"/>
    <w:bookmarkEnd w:id="11"/>
    <w:p>
      <w:pPr>
        <w:jc w:val="both"/>
        <w:spacing w:after="0" w:line="270" w:lineRule="auto"/>
        <w:rPr>
          <w:sz w:val="20"/>
          <w:szCs w:val="20"/>
          <w:color w:val="auto"/>
        </w:rPr>
      </w:pPr>
      <w:r>
        <w:rPr>
          <w:rFonts w:ascii="Times New Roman" w:cs="Times New Roman" w:eastAsia="Times New Roman" w:hAnsi="Times New Roman"/>
          <w:sz w:val="14"/>
          <w:szCs w:val="14"/>
          <w:color w:val="auto"/>
        </w:rPr>
        <w:t>On February 24, 2022, following a Phase 1 clinical study conducted by the Company outside of the U.S., the FDA cleared our IND for Anaphylm, allowing for clinical investigation of Anaphylm in the U.S. The FDA confirmed that the 505(b)(2) regulatory approval pathway is acceptable for the development of Anaphylm. The FDA granted Fast Track designation of Anaphylm in March 2022.</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Throughout 2022 and 2023, we reported positive topline data from several clinical studies evaluating multiple oral film formulations and dosage strengths of Anaphylm in healthy adult subjects, including cross over studies comparing the PK and PD of epinephrine delivered via Anaphylm compared to current standards of care, EpiPen® and IM injectors. These studies demonstrated that treatment with Anaphylm was well tolerated, with no serious adverse events, significant medical events, or treatment-related severe adverse events reported. The data from these clinical studies formed the basis for the EOP2 meeting with the FDA in December of 2022, which provided clarity as to the FDA’s expectations regarding key clinical program areas for design of revised dosing instructions expected for use in our pivotal clinical trial.</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the fourth quarter of 2023, we received comments from the FDA on the protocol for our pivotal clinical study for Anaphylm, which comments indicated that our proposed endpoints, sample size, and statistical analysis for the proposed pivotal clinical study were reasonable and provided clarity on PK sustainability with repeat-dose requirements. We incorporated the FDA’s feedback into the pivotal clinical study design, which study commenced in in the fourth quarter of 2023.</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January 2024, we completed a Type C meeting with the FDA in which the FDA found that we had adequately addressed the FDA’s previous concerns noted in the EOP2 meeting, including addressing (1) the impact of any product hold time, (2) the potential for emesis (vomiting), and (3) the impact of potential mouth conditions such as angioedema (swelling), by removing product hold time from the administration instructions and providing additional information on how to characterize emesis in our NDA submission with the FDA. Regarding mouth conditions, the FDA recommended administering Anaphylm after oral exposure to a known allergen and assessing PK performance thereunder. This study replaced our previously planned angioedema study. In those comments, the FDA did not outline any new clinical development requirements for the Anaphylm program. The FDA reserved judgment on the sufficiency of the Anaphylm clinical development program until completion of ongoing and planned studies, the results of which were presented at a pre-NDA interaction with the FDA on November 22, 2024.</w:t>
      </w:r>
    </w:p>
    <w:p>
      <w:pPr>
        <w:spacing w:after="0" w:line="2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In March 2024, we released topline data from our pivotal clinical study for Anaphylm. The two-part, Phase 3, single-center, open-label, randomized study was designed to compare the PK and PD of single and repeat doses of Anaphylm versus single and repeat doses of the IM injection and epinephrine autoinjectors (EpiPen® and Auvi-Q®) in healthy adult subjects. The results of this study demonstrated that the primary endpoint, epinephrine PK biocomparability of the single administration of Anaphylm to the single administration of Adrenalin (epinephrine IM injection) and epinephrine autoinjectors in healthy adult subjects was met. The study also met its secondary endpoints, which included evaluating the PK sustainability of Anaphylm following repeat administration, as well as its safety and tolerability of Anaphylm following single and repeat administrations versus epinephrine IM injection and epinephrine autoinjectors.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I</w:t>
      </w:r>
      <w:r>
        <w:rPr>
          <w:rFonts w:ascii="Times New Roman" w:cs="Times New Roman" w:eastAsia="Times New Roman" w:hAnsi="Times New Roman"/>
          <w:sz w:val="14"/>
          <w:szCs w:val="14"/>
          <w:color w:val="auto"/>
        </w:rPr>
        <w:t>n June 2024, we reported positive topline PK data from the Company's temperature / pH study of Anaphylm. The single-dose, five-period, randomized crossover study was designed 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compare the PK and PD of Anaphylm just after consuming normal water at different temperatures (hot, cold, and room temperature) as well as water of different pHs (acidic- lemon water, and basic- baking soda water). The most consumed beverages, such as soda, milk, coffee, and juice, have acidity between lemon water and normal water. The primary PK parameters were the maximum amount of epinephrine measured in plasma (Cmax) and exposure, or the area under the curve (AUC), at predefined time points after dosing, in 30 healthy adult subjects. Topline PK and PD data from the study showed no statistically significant difference in PK and PD results between the different groups based on temperature and pH variability in the mouth.</w:t>
      </w:r>
    </w:p>
    <w:p>
      <w:pPr>
        <w:spacing w:after="0" w:line="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July 2024, we reported positive topline data from the self-administration PK study of Anaphylm. The single-dose, three-period, randomized crossover study was designed to compare the PK and PD of Anaphylm self-administered, Anaphylm HCP-administered, and Adrenalin IM injection HCP-administered. The primary PK parameters were the Cmax and the AUC exposures, at predefined time points after dosing in 36 healthy adult subjects. The median time to maximum concentration (Tmax) was 15 minutes for both the Anaphylm self-administered and HCP-administered arms, while the median Tmax for the Adrenalin IM injection HCP-administered arm was 50 minutes post-administration. Also, there was no statistical difference between the Anaphylm self-administered and HCP- administered arms of the study based on a comparison of epinephrine exposures across the first 60 minutes post-administration. Topline PD data from the study showed no difference in the median increase in systolic blood pressure, diastolic blood pressure, and heart rate whether Anaphylm was self-administered or HCP-administered.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53975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60"/>
          </w:cols>
          <w:pgMar w:left="820" w:top="730" w:right="319" w:bottom="1440" w:gutter="0" w:footer="0" w:header="0"/>
        </w:sectPr>
      </w:pPr>
    </w:p>
    <w:bookmarkStart w:id="12" w:name="page13"/>
    <w:bookmarkEnd w:id="12"/>
    <w:p>
      <w:pPr>
        <w:jc w:val="both"/>
        <w:ind w:left="260"/>
        <w:spacing w:after="0" w:line="258" w:lineRule="auto"/>
        <w:rPr>
          <w:sz w:val="20"/>
          <w:szCs w:val="20"/>
          <w:color w:val="auto"/>
        </w:rPr>
      </w:pPr>
      <w:r>
        <w:rPr>
          <w:rFonts w:ascii="Times New Roman" w:cs="Times New Roman" w:eastAsia="Times New Roman" w:hAnsi="Times New Roman"/>
          <w:sz w:val="14"/>
          <w:szCs w:val="14"/>
          <w:color w:val="auto"/>
        </w:rPr>
        <w:t>In October 2024, we reported positive topline data from an oral allergy syndrome challenge study (now referred to as the "OASIS" study), meeting both primary and secondary endpoints. The two-part study demonstrated that Anaphylm's PK and PD profile during allergen-induced oral physiological changes was consistent with its profile without an allergen challenge. In addition, following allergen exposure where 94% of subjects exhibited moderate to severe symptoms per the predefined oral severity score, rapid symptom resolution was observed beginning as early as 2 minutes post-administration. The median time to complete symptom resolution was 12 minutes compared to 74 minutes at screening baseline, with 50% of all symptoms across all subjects resolving by 5 minutes. The mean time of symptom resolution for edema, which affected approximately 25% of subjects, was 5 minutes after Anaphylm administration. The PK profile remained consistent, with median Tmax maintained at 12 minutes and comparable Cmax values between allergen-exposed and non-exposed cohorts. The safety profile was favorable, with all adverse events classified as mild to moderate and resolving without medical intervention.</w:t>
      </w:r>
    </w:p>
    <w:p>
      <w:pPr>
        <w:spacing w:after="0" w:line="62" w:lineRule="exact"/>
        <w:rPr>
          <w:sz w:val="20"/>
          <w:szCs w:val="20"/>
          <w:color w:val="auto"/>
        </w:rPr>
      </w:pPr>
    </w:p>
    <w:p>
      <w:pPr>
        <w:jc w:val="both"/>
        <w:ind w:left="260"/>
        <w:spacing w:after="0" w:line="264" w:lineRule="auto"/>
        <w:rPr>
          <w:sz w:val="20"/>
          <w:szCs w:val="20"/>
          <w:color w:val="auto"/>
        </w:rPr>
      </w:pPr>
      <w:r>
        <w:rPr>
          <w:rFonts w:ascii="Times New Roman" w:cs="Times New Roman" w:eastAsia="Times New Roman" w:hAnsi="Times New Roman"/>
          <w:sz w:val="14"/>
          <w:szCs w:val="14"/>
          <w:color w:val="auto"/>
        </w:rPr>
        <w:t>Also in October 2024, at the American College of Allergy, Asthma and Immunology 2024 Annual Meeting, we presented results from a subsequent analysis of our pivotal study data demonstrating Anaphylm's consistent PK and PD profile regardless of variable placement or intraoral movement. The analysis showed that 87.5% of subjects maintained consistent film placement during disintegration. In the 12.5% of subjects where movement was noted, there were no significant differences in Cmax and Tmax. These findings further demonstrate that initial placement or subsequent movement of the sublingual film had no impact on epinephrine PK or PD comparability to epinephrine autoinjectors.</w:t>
      </w:r>
    </w:p>
    <w:p>
      <w:pPr>
        <w:spacing w:after="0" w:line="56" w:lineRule="exact"/>
        <w:rPr>
          <w:sz w:val="20"/>
          <w:szCs w:val="20"/>
          <w:color w:val="auto"/>
        </w:rPr>
      </w:pPr>
    </w:p>
    <w:p>
      <w:pPr>
        <w:jc w:val="both"/>
        <w:ind w:left="260"/>
        <w:spacing w:after="0" w:line="258" w:lineRule="auto"/>
        <w:rPr>
          <w:sz w:val="20"/>
          <w:szCs w:val="20"/>
          <w:color w:val="auto"/>
        </w:rPr>
      </w:pPr>
      <w:r>
        <w:rPr>
          <w:rFonts w:ascii="Times New Roman" w:cs="Times New Roman" w:eastAsia="Times New Roman" w:hAnsi="Times New Roman"/>
          <w:sz w:val="14"/>
          <w:szCs w:val="14"/>
          <w:color w:val="auto"/>
        </w:rPr>
        <w:t>On November 22, 2024, we received positive pre-NDA written response feedback from the FDA prior to our planned NDA submission in the first quarter of 2025. The FDA did not indicate in those responses that any additional adult clinical trials would be necessary for submitting the NDA for Anaphylm, although there can be no guarantee that the FDA will not require that additional clinical studies be performed for approval of Anaphylm. In addition, the FDA agreed with our planned NDA content and format for the submission, planned safety evaluation, and planned pediatric trial. The FDA also provided further guidance on additional data views to be included in the planned NDA submission and continued to emphasize its focus on PK sustainability for a single dose. In addition, the FDA requested minor modifications to the pediatric trial protocol, which requested modifications were incorporated in the final pediatric trial protocol. Finally, the FDA noted that due to the new route of administration and the data supporting this route of administration, an advisory committee meeting may be necessary prior to FDA approval, although the FDA recently confirmed as more fully described below that it would not hold an advisory committee.</w:t>
      </w:r>
    </w:p>
    <w:p>
      <w:pPr>
        <w:spacing w:after="0" w:line="62" w:lineRule="exact"/>
        <w:rPr>
          <w:sz w:val="20"/>
          <w:szCs w:val="20"/>
          <w:color w:val="auto"/>
        </w:rPr>
      </w:pPr>
    </w:p>
    <w:p>
      <w:pPr>
        <w:jc w:val="both"/>
        <w:ind w:left="260"/>
        <w:spacing w:after="0" w:line="270" w:lineRule="auto"/>
        <w:rPr>
          <w:sz w:val="20"/>
          <w:szCs w:val="20"/>
          <w:color w:val="auto"/>
        </w:rPr>
      </w:pPr>
      <w:r>
        <w:rPr>
          <w:rFonts w:ascii="Times New Roman" w:cs="Times New Roman" w:eastAsia="Times New Roman" w:hAnsi="Times New Roman"/>
          <w:sz w:val="14"/>
          <w:szCs w:val="14"/>
          <w:color w:val="auto"/>
        </w:rPr>
        <w:t>The pediatric study in subjects from the ages of 7 to 17 (weight greater than or equal to 30 kgs) was completed with positive topline data reported on April 1, 2025. A total of thirty-two patients completed the study. The PK results were consistent with previous adult studies. Anaphylm was shown to be safe and well-tolerated with no serious adverse events reported in this pediatric study.</w:t>
      </w:r>
    </w:p>
    <w:p>
      <w:pPr>
        <w:spacing w:after="0" w:line="20" w:lineRule="exact"/>
        <w:rPr>
          <w:sz w:val="20"/>
          <w:szCs w:val="20"/>
          <w:color w:val="auto"/>
        </w:rPr>
      </w:pPr>
    </w:p>
    <w:p>
      <w:pPr>
        <w:jc w:val="both"/>
        <w:ind w:left="260" w:hanging="260"/>
        <w:spacing w:after="0" w:line="179" w:lineRule="exact"/>
        <w:tabs>
          <w:tab w:leader="none" w:pos="25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AQST-108 </w:t>
      </w:r>
      <w:r>
        <w:rPr>
          <w:rFonts w:ascii="Times New Roman" w:cs="Times New Roman" w:eastAsia="Times New Roman" w:hAnsi="Times New Roman"/>
          <w:sz w:val="14"/>
          <w:szCs w:val="14"/>
          <w:color w:val="auto"/>
        </w:rPr>
        <w:t>(epinephrine) topical gel – Our product candidate, AQST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108 is generated from our AdrenaVerse™ platform which contains a library of over twenty epinephrine prodrug product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candidates intended to control absorption and conversion rates across a variety of possible dosage forms and delivery sites. Epinephrine plays a critical role in immune suppression but, until now, its role has been limited due to issues in the absorption and conversion of epinephrine in the human body. We believe that our AdrenaVerse platform has demonstrated the ability to harness the therapeutic potential of epinephrine through highly differentiated prodrug formulations, which can achieve absorption, provide sustained local exposure and avoid systemic exposure.</w:t>
      </w:r>
    </w:p>
    <w:p>
      <w:pPr>
        <w:spacing w:after="0" w:line="41" w:lineRule="exact"/>
        <w:rPr>
          <w:rFonts w:ascii="Times New Roman" w:cs="Times New Roman" w:eastAsia="Times New Roman" w:hAnsi="Times New Roman"/>
          <w:sz w:val="14"/>
          <w:szCs w:val="14"/>
          <w:color w:val="auto"/>
        </w:rPr>
      </w:pPr>
    </w:p>
    <w:p>
      <w:pPr>
        <w:jc w:val="both"/>
        <w:ind w:left="260"/>
        <w:spacing w:after="0" w:line="174"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AQST-108 is composed of the prodrug dipivefrin which is enzymatically cleaved into epinephrine after administration. AQST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108 is a topically delivered adrenergic agonist prodrug, which we believe has the potential to support the re-establishment of immune privilege in the hair follicle and we are pursuing its development for the possible treatment of alopecia areata, which is an autoimmune disease leading to hair loss on the scalp, face and, in more severe cases, other body areas. We completed the first human clinical trial for AQST-108. The two-part trial was designed to assess the safety and local tolerability of AQST-108. Part 1 was designed as a single ascending dose escalation study to assess the safety and PK of five different dose levels. The 1.0% dose of AQST-108 was chosen based on the down selection from the highest dose to move into the Part 2 study of the development program. In Part 2, three formulations based on excipient variations were evaluated in twelve healthy subjects. In Parts 1 and 2, no serious adverse events or topical adverse events were observed. In Part 2, the calculated percentage of AQST-108 observed in the skin remained consistent across all studied formulations and zero post-dose AQST-108 concentrations in plasma were observed. We opened an IND for this product candidate in the fourth quarter of 2025. We are continuing pre-clinical development and toxicology studies for AQST-108. Dosing of subjects in a second Phase 1 clinical trial was successfully completed in the first quarter of 2026 and the data readout from the study is expected in Q2 2026. This study is intended to further characterize the safety, tolerability, and pharmacologic profile of the program and to inform potential future development opportunities, including indication selection.</w:t>
      </w:r>
    </w:p>
    <w:p>
      <w:pPr>
        <w:spacing w:after="0" w:line="200" w:lineRule="exact"/>
        <w:rPr>
          <w:sz w:val="20"/>
          <w:szCs w:val="20"/>
          <w:color w:val="auto"/>
        </w:rPr>
      </w:pPr>
    </w:p>
    <w:p>
      <w:pPr>
        <w:spacing w:after="0" w:line="33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47625</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560" w:top="730"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color w:val="auto"/>
        </w:rPr>
        <w:t>Proprietary CNS Product</w:t>
      </w:r>
    </w:p>
    <w:p>
      <w:pPr>
        <w:spacing w:after="0" w:line="93" w:lineRule="exact"/>
        <w:rPr>
          <w:sz w:val="20"/>
          <w:szCs w:val="20"/>
          <w:color w:val="auto"/>
        </w:rPr>
      </w:pPr>
    </w:p>
    <w:p>
      <w:pPr>
        <w:ind w:firstLine="509"/>
        <w:spacing w:after="0" w:line="232" w:lineRule="auto"/>
        <w:rPr>
          <w:sz w:val="20"/>
          <w:szCs w:val="20"/>
          <w:color w:val="auto"/>
        </w:rPr>
      </w:pPr>
      <w:r>
        <w:rPr>
          <w:rFonts w:ascii="Times New Roman" w:cs="Times New Roman" w:eastAsia="Times New Roman" w:hAnsi="Times New Roman"/>
          <w:sz w:val="14"/>
          <w:szCs w:val="14"/>
          <w:color w:val="auto"/>
        </w:rPr>
        <w:t>We believe the application of our proprietary PharmFilm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technology is particularly valuable and relevant to patients suffering from certain CNS disorders to meet patients’ unmet medical needs and to solve patients’ therapeutic problems. Our most advanced asset within our proprietary CNS portfolio, focused in epilepsy, is as follows:</w:t>
      </w:r>
    </w:p>
    <w:p>
      <w:pPr>
        <w:spacing w:after="0" w:line="67" w:lineRule="exact"/>
        <w:rPr>
          <w:sz w:val="20"/>
          <w:szCs w:val="20"/>
          <w:color w:val="auto"/>
        </w:rPr>
      </w:pPr>
    </w:p>
    <w:p>
      <w:pPr>
        <w:ind w:left="520" w:hanging="260"/>
        <w:spacing w:after="0" w:line="233"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Libervant</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a buccally, or inside of the cheek, administered soluble film formulation of diazepam, Libervant was developed as an alternative to device-dependent rescue therapies currently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available to patients with refractory epilepsy, which are a rectal gel and nasal sprays.</w:t>
      </w:r>
    </w:p>
    <w:p>
      <w:pPr>
        <w:spacing w:after="0" w:line="67" w:lineRule="exact"/>
        <w:rPr>
          <w:rFonts w:ascii="Times New Roman" w:cs="Times New Roman" w:eastAsia="Times New Roman" w:hAnsi="Times New Roman"/>
          <w:sz w:val="14"/>
          <w:szCs w:val="14"/>
          <w:color w:val="auto"/>
        </w:rPr>
      </w:pPr>
    </w:p>
    <w:p>
      <w:pPr>
        <w:jc w:val="both"/>
        <w:ind w:left="520"/>
        <w:spacing w:after="0" w:line="24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26, 2024, the FDA approved Libervant</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color w:val="auto"/>
        </w:rPr>
        <w:t xml:space="preserve"> (diazepam) Buccal Film for U.S. market access for the acute treatment of intermittent, stereotypic episodes of frequent seizure activity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seizure clusters, ARS) that are distinct from a patient’s usual seizure pattern in patients with epilepsy between two to five years of age. Libervant is the first and only orally administered rescue product for the treatment of seizure cluster in patients between ages two to five. The only other current FDA approved products for these ARS patients between two to five years of age is a diazepam rectal gel and a diazepam nasal spray. In October 2024, Libervant 5mg, 7.5mg, 10mg, 12.5mg and 15 mg for ARS patients between two and five years of age became available through multiple retail distribution channels. In the fourth quarter of 2024, the FDA granted seven years of ODE to Libervant for ARS patients between two to five years of age. Libervant was originally granted Orphan Drug Designation on November 10, 2016.</w:t>
      </w:r>
    </w:p>
    <w:p>
      <w:pPr>
        <w:spacing w:after="0" w:line="66" w:lineRule="exact"/>
        <w:rPr>
          <w:rFonts w:ascii="Times New Roman" w:cs="Times New Roman" w:eastAsia="Times New Roman" w:hAnsi="Times New Roman"/>
          <w:sz w:val="14"/>
          <w:szCs w:val="14"/>
          <w:color w:val="auto"/>
        </w:rPr>
      </w:pPr>
    </w:p>
    <w:p>
      <w:pPr>
        <w:jc w:val="both"/>
        <w:ind w:left="520"/>
        <w:spacing w:after="0" w:line="25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14, 2025, in a lawsuit brought by Neurelis, Inc. ("Neurelis"), the owner of the FDA approved nasal spray Valtoco, against the FDA (Neurelis, Inc. v. Califf, for which the Company joined as a Defendant Intervenor) challenging the FDA's approval of Libervant for ARS patients aged between two and five years, the U.S. District for the District of Columbia issued a final appealable order entering a judgment in favor of Neurelis's motion for summary judgment and vacating the FDA’s approval of Libervant. The District Court's ruling was not based on grounds of safety or efficacy of Libervant, but rather on the grounds that the law granting ODE to the FDA approved nasal spray Valtoco for patients aged six years and older should be interpreted to extend to children aged two to five years, despite that Valtoco was not approved by the FDA to treat these younger patients at the time the FDA approved Libervant for this pediatric age group. The FDA is appealing this ruling. As a result of the District Court ruling, the FDA converted the approval of Libervant for patients aged between two and five years to a "tentative approval" and Aquestive has ceased marketing activities for Libervant in the United States.</w:t>
      </w:r>
    </w:p>
    <w:p>
      <w:pPr>
        <w:spacing w:after="0" w:line="51" w:lineRule="exact"/>
        <w:rPr>
          <w:rFonts w:ascii="Times New Roman" w:cs="Times New Roman" w:eastAsia="Times New Roman" w:hAnsi="Times New Roman"/>
          <w:sz w:val="14"/>
          <w:szCs w:val="14"/>
          <w:color w:val="auto"/>
        </w:rPr>
      </w:pPr>
    </w:p>
    <w:p>
      <w:pPr>
        <w:jc w:val="both"/>
        <w:ind w:left="520"/>
        <w:spacing w:after="0" w:line="24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24, 2025, Aquestive filed a request with the FDA that the FDA also confirm approval of Libervant for ARS patients aged between two and five years on the FDA regulatory grounds of clinical superiority over the other currently existing FDA approved ARS drugs. FDA’s orphan drug regulations define a “clinically superior” drug as “a drug shown to provide a significant therapeutic advantage over and above that provided by an approved orphan drug (that is otherwise the same drug)” in one of three ways: the basis of greater efficacy or safety, or providing a major contribution to patient care. The FDA has taken this request under advisement and has not yet provided a response to the Company.</w:t>
      </w:r>
    </w:p>
    <w:p>
      <w:pPr>
        <w:spacing w:after="0" w:line="56" w:lineRule="exact"/>
        <w:rPr>
          <w:rFonts w:ascii="Times New Roman" w:cs="Times New Roman" w:eastAsia="Times New Roman" w:hAnsi="Times New Roman"/>
          <w:sz w:val="14"/>
          <w:szCs w:val="14"/>
          <w:color w:val="auto"/>
        </w:rPr>
      </w:pPr>
    </w:p>
    <w:p>
      <w:pPr>
        <w:jc w:val="both"/>
        <w:ind w:left="520"/>
        <w:spacing w:after="0" w:line="23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FDA approval of Libervant for ARS patients between two to five years, the FDA granted tentative approval in August 2022 for Libervant for the same indication in patients with epilepsy 12 years of age and older, finding that Libervant had met all required quality, safety, and efficacy standards for approval. However, due to the existing FDA regulatory grant of ODE for Valtoco® for use in ARS patients 6 years of age and older, the FDA determined that Libervant was not yet eligible for marketing in the United States for this patient population of 12 years of age and older. We expect to file for FDA approval for use of Libervant for these ARS patients aged between 6 and 11 years prior to the expiration of the ODE for Valtoco. However, as a result of the ODE granted by the FDA to Valtoco and the District Court's ruling, the FDA cannot give final approval for U.S. market access for Libervant for any age group until the expiration of the ODE or a determination by the FDA of inapplicability of the ODE for Libervant, unless the District Court's ruling vacating the FDA approval of Libervant for ARS patients aged between two and five years is overturned on appeal. In the event that the District Court's ruling is reversed without further right of appeal, and the tentative approval of Libervant for ARS patients aged between two and five is converted to a final approval by the FDA, the Company would only be able to market Libervant for ARS patients aged between two and five years and would continue to be restricted from market access of Libervant for older ARS patients until the expiration of the ODE for Valtoco. However, overcoming the orphan drug marketing exclusivity determination is difficult to establish, with limited precedent, and there can be no assurance that the FDA will agree with our position seeking to overcome such market exclusivity and approve Libervant for U.S. market access for any age group earlier than January 2027, the scheduled date for expiration of ODE for Valtoco. See “</w:t>
      </w:r>
      <w:r>
        <w:rPr>
          <w:rFonts w:ascii="Times New Roman" w:cs="Times New Roman" w:eastAsia="Times New Roman" w:hAnsi="Times New Roman"/>
          <w:sz w:val="14"/>
          <w:szCs w:val="14"/>
          <w:i w:val="1"/>
          <w:iCs w:val="1"/>
          <w:color w:val="auto"/>
        </w:rPr>
        <w:t>Licensed Commercial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Products, Product Candidates and Other Products – Libervant</w:t>
      </w:r>
      <w:r>
        <w:rPr>
          <w:rFonts w:ascii="Times New Roman" w:cs="Times New Roman" w:eastAsia="Times New Roman" w:hAnsi="Times New Roman"/>
          <w:sz w:val="14"/>
          <w:szCs w:val="14"/>
          <w:color w:val="auto"/>
        </w:rPr>
        <w:t>” for a discussion of the licensing arrangement for Libervant. See "</w:t>
      </w:r>
      <w:r>
        <w:rPr>
          <w:rFonts w:ascii="Times New Roman" w:cs="Times New Roman" w:eastAsia="Times New Roman" w:hAnsi="Times New Roman"/>
          <w:sz w:val="14"/>
          <w:szCs w:val="14"/>
          <w:i w:val="1"/>
          <w:iCs w:val="1"/>
          <w:color w:val="auto"/>
        </w:rPr>
        <w:t xml:space="preserve">Note 23, Contingencies - Neurelis FDA Lawsuit" </w:t>
      </w:r>
      <w:r>
        <w:rPr>
          <w:rFonts w:ascii="Times New Roman" w:cs="Times New Roman" w:eastAsia="Times New Roman" w:hAnsi="Times New Roman"/>
          <w:sz w:val="14"/>
          <w:szCs w:val="14"/>
          <w:color w:val="auto"/>
        </w:rPr>
        <w:t>for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discussion of the FDA case and new legislation clarifying the Orphan Drug Act.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color w:val="auto"/>
        </w:rPr>
        <w:t>Licensed Commercial Products, Product Candidates and Other Products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portfolio also includes other products and product candidates that we have licensed, or will seek to license, or for which we have licensed our intellectual property for commercialization.</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the years ended December 31, 2025 and 2024, our licensed product portfolio generated $44,545 and $57,561 in revenue to Aquestive, respectively. Those products include:</w:t>
      </w:r>
    </w:p>
    <w:p>
      <w:pPr>
        <w:spacing w:after="0" w:line="76" w:lineRule="exact"/>
        <w:rPr>
          <w:sz w:val="20"/>
          <w:szCs w:val="20"/>
          <w:color w:val="auto"/>
        </w:rPr>
      </w:pPr>
    </w:p>
    <w:p>
      <w:pPr>
        <w:jc w:val="both"/>
        <w:ind w:left="520" w:hanging="260"/>
        <w:spacing w:after="0" w:line="242" w:lineRule="auto"/>
        <w:tabs>
          <w:tab w:leader="none" w:pos="516" w:val="left"/>
        </w:tabs>
        <w:numPr>
          <w:ilvl w:val="0"/>
          <w:numId w:val="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color w:val="auto"/>
        </w:rPr>
        <w:t>Suboxone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a sublingual film formulation of buprenorphine and naloxone, respectively an opioid agonist and antagonist, that is marketed in the United States and internationally for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treatment of opioid dependence. Suboxone was launched by our licensee, Indivior, in 2010. Suboxone is the most prescribed branded product in its category and was the first sublingual film product for the treatment of opioid dependence. We are the sole and exclusive supplier and manufacturer of Suboxone and have produced over 3.0 billion doses of Suboxone since its launch in 2010. As of December 31, 2025, Suboxone branded products retain approximately 24% film market share as generic film-based products have penetrated this market.</w:t>
      </w:r>
    </w:p>
    <w:p>
      <w:pPr>
        <w:spacing w:after="0" w:line="68" w:lineRule="exact"/>
        <w:rPr>
          <w:rFonts w:ascii="Times New Roman" w:cs="Times New Roman" w:eastAsia="Times New Roman" w:hAnsi="Times New Roman"/>
          <w:sz w:val="14"/>
          <w:szCs w:val="14"/>
          <w:b w:val="1"/>
          <w:bCs w:val="1"/>
          <w:i w:val="1"/>
          <w:iCs w:val="1"/>
          <w:color w:val="auto"/>
        </w:rPr>
      </w:pPr>
    </w:p>
    <w:p>
      <w:pPr>
        <w:jc w:val="both"/>
        <w:ind w:left="520" w:hanging="260"/>
        <w:spacing w:after="0" w:line="242"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Emylif</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an oral film formulation of riluzole, has been developed by Aquestive for the treatment of ALS. We believe that Emylif can bring meaningful assistance to patients who are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diagnosed with ALS and face difficulties swallowing traditional forms of medication. This product was originally approved and marketed in the U.S. under the name Exservan. Exservan was approved by the FDA on November 22, 2019. We submitted a request for voluntary withdrawal of the NDA as the product is no longer marketed in the U.S. and the NDA was officially withdrawn on February 14, 2025.</w:t>
      </w:r>
    </w:p>
    <w:p>
      <w:pPr>
        <w:spacing w:after="0" w:line="71" w:lineRule="exact"/>
        <w:rPr>
          <w:rFonts w:ascii="Times New Roman" w:cs="Times New Roman" w:eastAsia="Times New Roman" w:hAnsi="Times New Roman"/>
          <w:sz w:val="14"/>
          <w:szCs w:val="14"/>
          <w:color w:val="auto"/>
        </w:rPr>
      </w:pPr>
    </w:p>
    <w:p>
      <w:pPr>
        <w:jc w:val="both"/>
        <w:ind w:left="520"/>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fourth quarter of 2019, we announced the grant of a license to Zambon for the development and commercialization of Exservan in the EU for the treatment of ALS which it markets as Emylif. Zambon is a multinational pharmaceutical company with a focus on the CNS therapeutic area. Under the terms of the license agreement with Zambon, an upfront payment was paid to Aquestive for the development and commercialization rights of Emylif in the EU, and Aquestive will be paid development and sales milestone payments and low double-digit royalties on net sales of the product in the EU. Zambon is responsible for the regulatory approval and marketing of Emylif in the countries where Zambon seeks to market the product and Aquestive is responsible for the development and manufacture of the product. During the second quarter of 2025, Aquestive earned a $500 milestone payment in connection with the sale of Emylif pursuant to the terms of the license agreement with Zambon.</w:t>
      </w:r>
    </w:p>
    <w:p>
      <w:pPr>
        <w:spacing w:after="0" w:line="61" w:lineRule="exact"/>
        <w:rPr>
          <w:rFonts w:ascii="Times New Roman" w:cs="Times New Roman" w:eastAsia="Times New Roman" w:hAnsi="Times New Roman"/>
          <w:sz w:val="14"/>
          <w:szCs w:val="14"/>
          <w:color w:val="auto"/>
        </w:rPr>
      </w:pPr>
    </w:p>
    <w:p>
      <w:pPr>
        <w:jc w:val="both"/>
        <w:ind w:left="520"/>
        <w:spacing w:after="0" w:line="26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January 2021, we announced that we granted an exclusive license to MTPA for the commercialization in the United States of Exservan. MTPA is a multinational pharmaceutical company with a focus on patients with ALS. The product was launched by MTPA in June 2021. Under the terms of the MTPA license agreement, Aquestive was the exclusive manufacturer and supplier of Exservan for MTPA in the United States. In June 2024, the Company and MTPA mutually agreed to terminate the MTPA Licensing Agreement. See Part II Item 8. Financial Statements and Supplementary Data, Note 7, </w:t>
      </w:r>
      <w:r>
        <w:rPr>
          <w:rFonts w:ascii="Times New Roman" w:cs="Times New Roman" w:eastAsia="Times New Roman" w:hAnsi="Times New Roman"/>
          <w:sz w:val="14"/>
          <w:szCs w:val="14"/>
          <w:i w:val="1"/>
          <w:iCs w:val="1"/>
          <w:color w:val="auto"/>
        </w:rPr>
        <w:t>Material Agreements</w:t>
      </w:r>
      <w:r>
        <w:rPr>
          <w:rFonts w:ascii="Times New Roman" w:cs="Times New Roman" w:eastAsia="Times New Roman" w:hAnsi="Times New Roman"/>
          <w:sz w:val="14"/>
          <w:szCs w:val="14"/>
          <w:color w:val="auto"/>
        </w:rPr>
        <w:t xml:space="preserve"> for details.</w:t>
      </w:r>
    </w:p>
    <w:p>
      <w:pPr>
        <w:spacing w:after="0" w:line="55" w:lineRule="exact"/>
        <w:rPr>
          <w:rFonts w:ascii="Times New Roman" w:cs="Times New Roman" w:eastAsia="Times New Roman" w:hAnsi="Times New Roman"/>
          <w:sz w:val="14"/>
          <w:szCs w:val="14"/>
          <w:color w:val="auto"/>
        </w:rPr>
      </w:pPr>
    </w:p>
    <w:p>
      <w:pPr>
        <w:jc w:val="both"/>
        <w:ind w:left="520"/>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March 2022, we announced the grant of an exclusive license to Haisco for Haisco to develop and commercialize Exservan for the treatment of ALS in China. Haisco is a China-based public pharmaceutical company. Haisco lead the regulatory and commercialization activities for Exservan in China. Aquestive was the exclusive sole manufacturer and supplier for Exservan in China. Under the terms of the license agreement with Haisco, as amended, Aquestive received a $7,000 upfront payment in September 2022, and was to receive regulatory milestone payments, double-digit royalties on net sales of Exservan in China, and earn manufacturing revenue upon the sale of Exservan in China. In June 2024, Aquestive and Haisco mutually agreed to terminate the Haisco Agreement. See Part II Item 8. Financial Statements and Supplementary Data, Note 7, </w:t>
      </w:r>
      <w:r>
        <w:rPr>
          <w:rFonts w:ascii="Times New Roman" w:cs="Times New Roman" w:eastAsia="Times New Roman" w:hAnsi="Times New Roman"/>
          <w:sz w:val="14"/>
          <w:szCs w:val="14"/>
          <w:i w:val="1"/>
          <w:iCs w:val="1"/>
          <w:color w:val="auto"/>
        </w:rPr>
        <w:t>Material Agreements</w:t>
      </w:r>
      <w:r>
        <w:rPr>
          <w:rFonts w:ascii="Times New Roman" w:cs="Times New Roman" w:eastAsia="Times New Roman" w:hAnsi="Times New Roman"/>
          <w:sz w:val="14"/>
          <w:szCs w:val="14"/>
          <w:color w:val="auto"/>
        </w:rPr>
        <w:t xml:space="preserve"> for details.</w:t>
      </w:r>
    </w:p>
    <w:p>
      <w:pPr>
        <w:spacing w:after="0" w:line="53" w:lineRule="exact"/>
        <w:rPr>
          <w:rFonts w:ascii="Times New Roman" w:cs="Times New Roman" w:eastAsia="Times New Roman" w:hAnsi="Times New Roman"/>
          <w:sz w:val="14"/>
          <w:szCs w:val="14"/>
          <w:color w:val="auto"/>
        </w:rPr>
      </w:pPr>
    </w:p>
    <w:p>
      <w:pPr>
        <w:jc w:val="both"/>
        <w:ind w:left="520" w:hanging="260"/>
        <w:spacing w:after="0" w:line="245" w:lineRule="auto"/>
        <w:tabs>
          <w:tab w:leader="none" w:pos="516" w:val="left"/>
        </w:tabs>
        <w:numPr>
          <w:ilvl w:val="0"/>
          <w:numId w:val="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color w:val="auto"/>
        </w:rPr>
        <w:t>Ondif</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an oral soluble film formulation of ondansetron, a 5-HT antagonist, was developed for the treatment of nausea and vomiting associated with chemotherapy and post-operative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recovery. Ondansetron is available as branded and generic products as intravenous injections, intramuscular injections, orally dissolving tablets, oral solution tablets, and film. We licensed commercial rights for this product to Hypera in Brazil (which Hypera markets as Ondif). Hypera received approval to market Ondif in Brazil from ANVISA on February 21, 2022. Aquestive manufactures and supplies Ondif to Hypera. This product was originally approved and marketed in the U.S. under the name Zuplenz®. We submitted a request for voluntary withdrawal of the NDA for Zuplenz, as the product is no longer marketed in the U.S. In November 2024, the request for FDA withdrawal of the NDA for Zuplenz was completed.</w:t>
      </w:r>
    </w:p>
    <w:p>
      <w:pPr>
        <w:spacing w:after="0" w:line="65" w:lineRule="exact"/>
        <w:rPr>
          <w:rFonts w:ascii="Times New Roman" w:cs="Times New Roman" w:eastAsia="Times New Roman" w:hAnsi="Times New Roman"/>
          <w:sz w:val="14"/>
          <w:szCs w:val="14"/>
          <w:b w:val="1"/>
          <w:bCs w:val="1"/>
          <w:i w:val="1"/>
          <w:iCs w:val="1"/>
          <w:color w:val="auto"/>
        </w:rPr>
      </w:pPr>
    </w:p>
    <w:p>
      <w:pPr>
        <w:jc w:val="both"/>
        <w:ind w:left="520" w:hanging="260"/>
        <w:spacing w:after="0" w:line="243" w:lineRule="auto"/>
        <w:tabs>
          <w:tab w:leader="none" w:pos="516" w:val="left"/>
        </w:tabs>
        <w:numPr>
          <w:ilvl w:val="0"/>
          <w:numId w:val="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color w:val="auto"/>
        </w:rPr>
        <w:t>Libervant</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We entered into the Pharmanovia Agreement with Pharmanovia, effective as of September 26, 2022, pursuant to which we granted Pharmanovia an exclusive license to certain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our intellectual property to develop and commercialize Libervant for the treatment of prolonged or acute, convulsive seizures in all ages in certain countries of the Territory, as defined in the Pharmanovia Agreement, during the term of the Pharmanovia Agreement. Under the Pharmanovia Agreement, Pharmanovia will lead the regulatory and commercialization activities for Libervant in the Territory and Aquestive will serve as the exclusive sole manufacturer and supplier of Libervant in the Territory. We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5" w:name="page16"/>
    <w:bookmarkEnd w:id="15"/>
    <w:p>
      <w:pPr>
        <w:jc w:val="both"/>
        <w:ind w:left="520"/>
        <w:spacing w:after="0" w:line="270" w:lineRule="auto"/>
        <w:rPr>
          <w:sz w:val="20"/>
          <w:szCs w:val="20"/>
          <w:color w:val="auto"/>
        </w:rPr>
      </w:pPr>
      <w:r>
        <w:rPr>
          <w:rFonts w:ascii="Times New Roman" w:cs="Times New Roman" w:eastAsia="Times New Roman" w:hAnsi="Times New Roman"/>
          <w:sz w:val="14"/>
          <w:szCs w:val="14"/>
          <w:color w:val="auto"/>
        </w:rPr>
        <w:t>received $3,500 upon agreement execution. Effective March 27, 2023, we amended the Pharmanovia Agreement to expand the scope of the licensed territory for Libervant to cover the rest of the world, excluding the U.S., Canada and China. Pharmanovia will be responsible for seeking appropriate regulatory approval in the expanded territories. Pursuant to the terms of the Pharmanovia Amendment, we received a non-refundable payment of $2,000 from Pharmanovia on execution of the Pharmanovia Amendment.</w:t>
      </w:r>
    </w:p>
    <w:p>
      <w:pPr>
        <w:spacing w:after="0" w:line="46" w:lineRule="exact"/>
        <w:rPr>
          <w:sz w:val="20"/>
          <w:szCs w:val="20"/>
          <w:color w:val="auto"/>
        </w:rPr>
      </w:pPr>
    </w:p>
    <w:p>
      <w:pPr>
        <w:jc w:val="both"/>
        <w:ind w:left="520" w:hanging="260"/>
        <w:spacing w:after="0" w:line="246"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Sympazan</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an oral soluble film formulation of clobazam used for the treatment of seizures associated with a rare, intractable form of epilepsy known as Lennox-Gastaut syndrome,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LGS, in patients aged two years of age or older, was approved by the FDA on November 1, 2018. We commercially launched Sympazan in December 2018. On October 26, 2022, we entered into a License Agreement with Otter Pharmaceuticals, LLC, a subsidiary of Assertio Holdings, Inc., pursuant to which we granted an exclusive, worldwide license of its intellectual property for Sympazan to Assertio during the term of that agreement for an upfront payment of $9,000. Additionally, we subsequently received from Assertio a $6,000 milestone payment upon its receipt of a notice of allowance from the United States Patent and Trademark Office of its patent application U.S. Serial No. 16/561,573, and payment of the related allowance fee. Aquestive is the exclusive sole manufacturer and supplier of Sympazan for Assertio and will receive manufacturing fees from Assertio for the product through the expiration of such License Agreement.</w:t>
      </w:r>
    </w:p>
    <w:p>
      <w:pPr>
        <w:spacing w:after="0" w:line="235" w:lineRule="exact"/>
        <w:rPr>
          <w:rFonts w:ascii="Times New Roman" w:cs="Times New Roman" w:eastAsia="Times New Roman" w:hAnsi="Times New Roman"/>
          <w:sz w:val="14"/>
          <w:szCs w:val="14"/>
          <w:color w:val="auto"/>
        </w:rPr>
      </w:pPr>
    </w:p>
    <w:p>
      <w:pPr>
        <w:jc w:val="both"/>
        <w:ind w:left="520" w:hanging="260"/>
        <w:spacing w:after="0" w:line="247" w:lineRule="auto"/>
        <w:tabs>
          <w:tab w:leader="none" w:pos="516" w:val="left"/>
        </w:tabs>
        <w:numPr>
          <w:ilvl w:val="0"/>
          <w:numId w:val="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color w:val="auto"/>
        </w:rPr>
        <w:t>KYNMOBI</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a sublingual film formulation of apomorphine, which is a dopamine agonist, was developed to treat episodic off-periods in Parkinson’s disease. We licensed our intellectual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property to Cynapsus Therapeutics, Inc., a company that was acquired by Sunovion for the commercialization of KYNMOBI under the Sunovion License Agreement. KYNMOBI was approved by the FDA on May 21, 2020 and commercially launched by Sunovion in September 2020. On November 3, 2020, we entered into the Monetization Agreement. Under the terms of the Monetization Agreement, we sold all of our contractual rights to receive royalties and milestone payments due under the Sunovion License Agreement related to Sunovion’s apomorphine product, KYNMOBI. In June 2023, Sunovion announced that it had voluntarily withdrawn KYNMOBI from the U.S. and Canadian markets. See Part II Item 8. Financial Statements and Supplementary Data, Note 17, </w:t>
      </w:r>
      <w:r>
        <w:rPr>
          <w:rFonts w:ascii="Times New Roman" w:cs="Times New Roman" w:eastAsia="Times New Roman" w:hAnsi="Times New Roman"/>
          <w:sz w:val="14"/>
          <w:szCs w:val="14"/>
          <w:i w:val="1"/>
          <w:iCs w:val="1"/>
          <w:color w:val="auto"/>
        </w:rPr>
        <w:t>Sale of Future Revenue</w:t>
      </w:r>
      <w:r>
        <w:rPr>
          <w:rFonts w:ascii="Times New Roman" w:cs="Times New Roman" w:eastAsia="Times New Roman" w:hAnsi="Times New Roman"/>
          <w:sz w:val="14"/>
          <w:szCs w:val="14"/>
          <w:color w:val="auto"/>
        </w:rPr>
        <w:t xml:space="preserve"> for details.</w:t>
      </w:r>
    </w:p>
    <w:p>
      <w:pPr>
        <w:spacing w:after="0" w:line="61" w:lineRule="exact"/>
        <w:rPr>
          <w:rFonts w:ascii="Times New Roman" w:cs="Times New Roman" w:eastAsia="Times New Roman" w:hAnsi="Times New Roman"/>
          <w:sz w:val="14"/>
          <w:szCs w:val="14"/>
          <w:b w:val="1"/>
          <w:bCs w:val="1"/>
          <w:i w:val="1"/>
          <w:iCs w:val="1"/>
          <w:color w:val="auto"/>
        </w:rPr>
      </w:pPr>
    </w:p>
    <w:p>
      <w:pPr>
        <w:jc w:val="both"/>
        <w:ind w:left="520" w:hanging="260"/>
        <w:spacing w:after="0" w:line="248" w:lineRule="auto"/>
        <w:tabs>
          <w:tab w:leader="none" w:pos="516"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Azstarys</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an FDA-approved, once-daily product for the treatment of ADHD in patients age 6 years or older. AZSTARYS consists of serdexmethylphenidate, a prodrug of d-methylphenidate (d-MPH), co-formulated with immediate release d-MPH. In March 2012, we entered into an agreement with Zevra (formerly KemPharm, Inc.) to terminate a Collaboration and License Agreement entered into by the Company and Zevra in April 2011. Under this termination arrangement, we have the right to participate in any and all value that Zevra may derive from the commercialization or any other monetization of KP-415 and KP-484 compounds or their derivatives. Among these monetization transactions are those related to any business combinations involving Zevra and collaborations, royalty arrangements, or other transactions from which Zevra may realize value from these compounds, including the product Azstarys. On March 2, 2021, Zevra announced FDA approval of Azstarys for the treatment of ADHD. Pursuant to the terms of the March 2012 agreement with Zevra, we began to receive milestone and royalty revenues for Azstarys.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Overview</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Anaphylaxis</w:t>
      </w:r>
    </w:p>
    <w:p>
      <w:pPr>
        <w:spacing w:after="0" w:line="9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Anaphylaxis is a severe systemic allergic reaction that can be triggered by certain foods, medications, insect stings and latex, among other allergens. Signs and symptoms of anaphylaxis typically occur within seconds or minutes of exposure and may include low blood pressure, skin rash or itching, constriction of the airway and difficulty breathing and nausea and vomiting. If not treated immediately, anaphylaxis can lead to death due to airway restriction or cardiac arrest. Anaphylaxis is a potentially life-threatening systemic allergic reaction, with an estimated incidence of 50 to 112 episodes per 100,000 people per year. An international study found that hospital admissions for anaphylaxis have increased over a 15-year study period. The most common causes of reactions that can include anaphylaxis are medications, foods (such as peanuts), and venom from insect stings. Because anaphylaxis can progress quickly, the ability to administer a reliable and accurate dose of epinephrine as quickly as possible following a reaction is critical for patient recovery and survival.</w:t>
      </w:r>
    </w:p>
    <w:p>
      <w:pPr>
        <w:spacing w:after="0" w:line="61"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4"/>
          <w:szCs w:val="14"/>
          <w:color w:val="auto"/>
        </w:rPr>
        <w:t>Treatment of anaphylaxis typically consists of an intramuscular injection of epinephrine administered at the earliest opportunity, followed by additional intramuscular or intravenous injections as needed. A generic form of epinephrine auto-injector (brand form EpiPen</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color w:val="auto"/>
        </w:rPr>
        <w:t>) is the leading self-administered form of epinephrine. People with known allergies and who are at risk for anaphylaxis are advised to carry two epinephrine auto-injectors with them at all times and self-administer at the first signs of an anaphylactic reaction. Auto-injectors can be inconvenient to transport and many patients and caregivers dislike injections as a delivery method. In August 2024, a non-injection-based epinephrine delivery device, n</w:t>
      </w:r>
      <w:r>
        <w:rPr>
          <w:rFonts w:ascii="Times New Roman" w:cs="Times New Roman" w:eastAsia="Times New Roman" w:hAnsi="Times New Roman"/>
          <w:sz w:val="14"/>
          <w:szCs w:val="14"/>
          <w:i w:val="1"/>
          <w:iCs w:val="1"/>
          <w:color w:val="auto"/>
        </w:rPr>
        <w:t>effy</w:t>
      </w:r>
      <w:r>
        <w:rPr>
          <w:rFonts w:ascii="Times New Roman" w:cs="Times New Roman" w:eastAsia="Times New Roman" w:hAnsi="Times New Roman"/>
          <w:sz w:val="14"/>
          <w:szCs w:val="14"/>
          <w:color w:val="auto"/>
        </w:rPr>
        <w:t>®, was approved by the FDA and EMA for the treatment of severe allergic reactions, including anaphylaxis, and is available to patients in the United States and certain other countries.</w:t>
      </w:r>
    </w:p>
    <w:p>
      <w:pPr>
        <w:spacing w:after="0" w:line="6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Proper dosing and the ability to effectively administer epinephrine in a timely, reliable manner is critical for patients experiencing anaphylaxis. However, we believe that the inability to administer complex molecules via oral administration has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6" w:name="page17"/>
    <w:bookmarkEnd w:id="16"/>
    <w:p>
      <w:pPr>
        <w:jc w:val="both"/>
        <w:spacing w:after="0" w:line="259" w:lineRule="auto"/>
        <w:rPr>
          <w:sz w:val="20"/>
          <w:szCs w:val="20"/>
          <w:color w:val="auto"/>
        </w:rPr>
      </w:pPr>
      <w:r>
        <w:rPr>
          <w:rFonts w:ascii="Times New Roman" w:cs="Times New Roman" w:eastAsia="Times New Roman" w:hAnsi="Times New Roman"/>
          <w:sz w:val="14"/>
          <w:szCs w:val="14"/>
          <w:color w:val="auto"/>
        </w:rPr>
        <w:t>limited the development of treatments that have the potential to provide significant patient benefit. We designed Anaphylm, a “first of its kind” oral sublingual film formulation delivering systemic epinephrine, as a rescue medicine for the treatment of anaphylaxis, using Aquestive’s proprietary PharmFilm technologies. We believe there is a significant market opportunity for a non-injectable, device-free, easier to administer product with a fast onset of action. A product with this profile could enable patients to conveniently and rapidly self-administer a reliable and accurate dose of epinephrine during an anaphylactic reaction, which we believe will improve patient compliance. Subject to our achieving regulatory approval of this product candidate, which we cannot assure, we believe Anaphylm has the potential to reduce the treatment burden currently associated with intramuscular injections and may lower costs to the healthcare system associated with anaphylaxis, due to inaccurate or untimely dosing.</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Epilepsy</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Epilepsy is a chronic CNS disorder characterized by recurrent seizure activity. There are 3.4 million people in the United States suffering from epilepsy. According to Symphony Health data, antiepileptic medications generated billions of dollars of sales in the United States in 2022. The direct (medical) and indirect (lost wages and productivity) annual costs associated with epileptic patients in the United States are significant.</w:t>
      </w:r>
    </w:p>
    <w:p>
      <w:pPr>
        <w:spacing w:after="0" w:line="5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Epilepsy treatment regimens typically consist of chronic and acute management therapies. Chronic medicines are used on a daily basis to suppress seizure activity. Approximately 1.1 million of those suffering from epilepsy will continue to suffer with breakthrough seizures and may require an acute (rescue) management strategy. Patients are routinely prescribed AEDs, as “maintenance” therapy to control chronic seizure activity. Most AEDs specifically target neuronal excitation or neuronal inhibitory pathways. Patients are routinely prescribed benzodiazepines as “rescue” therapy for the management of acute seizure emergencies.</w:t>
      </w:r>
    </w:p>
    <w:p>
      <w:pPr>
        <w:spacing w:after="0" w:line="5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Rescue therapies are administered as needed in the event of an acute seizure to rapidly terminate seizure activity. One of the most effective benzodiazepines currently available for the treatment of acute seizures is diazepam. Diazepam has historically been marketed as a product administered rectally and more recently, a nasal spray product was introduced to the market for patients ages 6 years and up. Rectal administration of this drug presents a particular challenge for patients. We developed our product candidate Libervant as an alternative to the device-dependent rescue therapies currently available to patients with refractory epilepsy. See “</w:t>
      </w:r>
      <w:r>
        <w:rPr>
          <w:rFonts w:ascii="Times New Roman" w:cs="Times New Roman" w:eastAsia="Times New Roman" w:hAnsi="Times New Roman"/>
          <w:sz w:val="14"/>
          <w:szCs w:val="14"/>
          <w:i w:val="1"/>
          <w:iCs w:val="1"/>
          <w:color w:val="auto"/>
        </w:rPr>
        <w:t>Our Product Portfolio and Pipeline</w:t>
      </w:r>
      <w:r>
        <w:rPr>
          <w:rFonts w:ascii="Times New Roman" w:cs="Times New Roman" w:eastAsia="Times New Roman" w:hAnsi="Times New Roman"/>
          <w:sz w:val="14"/>
          <w:szCs w:val="14"/>
          <w:color w:val="auto"/>
        </w:rPr>
        <w:t>” above and “</w:t>
      </w:r>
      <w:r>
        <w:rPr>
          <w:rFonts w:ascii="Times New Roman" w:cs="Times New Roman" w:eastAsia="Times New Roman" w:hAnsi="Times New Roman"/>
          <w:sz w:val="14"/>
          <w:szCs w:val="14"/>
          <w:i w:val="1"/>
          <w:iCs w:val="1"/>
          <w:color w:val="auto"/>
        </w:rPr>
        <w:t>Competition</w:t>
      </w:r>
      <w:r>
        <w:rPr>
          <w:rFonts w:ascii="Times New Roman" w:cs="Times New Roman" w:eastAsia="Times New Roman" w:hAnsi="Times New Roman"/>
          <w:sz w:val="14"/>
          <w:szCs w:val="14"/>
          <w:color w:val="auto"/>
        </w:rPr>
        <w:t>” below in this Item 1. Business of this Form 10-K for additional information concerning the Libervant FDA approval process and market access issues.</w:t>
      </w:r>
    </w:p>
    <w:p>
      <w:pPr>
        <w:spacing w:after="0" w:line="5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There are multiple epileptic syndromes including LGS, which is a rare, intractable form of epilepsy. Patients with LGS are often drug resistant, predisposing them to recurrent seizures, and are typically prescribed a combination of antiepileptic medications, which often includes clobazam. Clobazam (branded name Ondif) is available in both a tablet and suspension formulation. Generic versions of the clobazam tablet and suspension formulation are available to patients, as well. Sympazan was developed as an alternative to these other routes of administration of clobazam.</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Manufacturing and Product Supply</w:t>
      </w:r>
    </w:p>
    <w:p>
      <w:pPr>
        <w:spacing w:after="0" w:line="9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We operate two manufacturing and primary packaging facilities located in Portage, Indiana, where we currently manufacture our licensed products, Suboxone, Emylif, Ondif and Sympazan. These facilities are expected to have a combined capacity to accommodate the production of our proprietary product pipeline candidate and licensed products, without any current need for additional infrastructure. In 2022, we completed work to expand our manufacturing capabilities to include serialization and secondary packaging. This expansion allows us to support our existing and possible future business collaborations more broadly. With the cGMP facilities in Indiana, we will continue to explore possible additional manufacturing efficiencies in 2026. We will also continue to consider our anticipated facilities and infrastructure needs as our product development grows. We have produced over 2.5 billion doses since the Company's inception. The cGMP manufacturing operations in Indiana are registered with the DEA for Schedule II - V.</w:t>
      </w:r>
    </w:p>
    <w:p>
      <w:pPr>
        <w:spacing w:after="0" w:line="6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We are subject to various regulatory requirements, such as the regulations of the FDA, the DEA, the EU, ANVISA and other foreign health authorities such as the TGA. We are required to register our facilities and adhere to cGMP standards. These standards require manufacturers to follow elaborate design, testing, control, documentation and other quality assurance procedures throughout the entire manufacturing process. Our facilities have undergone inspections by the FDA, DEA, TGA, and several quality assurance inspections by pharmaceutical companies for cGMP compliance. In each case, the facilities have passed inspection and are subject to periodic re-inspection. Failure to comply with these and other statutory and regulatory requirements subjects a manufacturer to possible legal or regulatory action, including warning letters, the seizure or recall of products, injunctions, consent decrees placing significant restrictions on or suspending manufacturing operations and civil and criminal penalties. Adverse events with the product or product complaints must be reported and could result in the imposition of market restrictions through labeling changes or in product removal. Product approvals may be withdrawn if compliance with regulatory requirements is not maintained or if problems concerning safety or efficacy of the product occur following approval.</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7" w:name="page18"/>
    <w:bookmarkEnd w:id="17"/>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purchase our raw materials, including active pharmaceutical ingredients, from qualified, approved vendors both domestically and internationally. Whenever possible, we continue to pursue a multi-supplier strategy for critical raw materials, where available or appropriate. Our product packaging foil is supplied by a single manufacturer. Such manufacturer utilizes multiple manufacturing facilities for production of our packaging foil. We may continue to enter into more formal supply agreements in the future as production volumes increase and are more predictive.</w:t>
      </w:r>
    </w:p>
    <w:p>
      <w:pPr>
        <w:spacing w:after="0" w:line="5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Subject to the supervision of our internal clinical operations, we use third-party CROs to administer and conduct many aspects of our planned clinical trials including monitoring and managing data, and we will rely upon such CROs, as well as medical institutions, clinical investigators and consultants, to conduct our trials in accordance with our clinical protocols. We intend for such CROs to play a significant role in the subsequent collection and analysis of data from such trials.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9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We compete with pharmaceutical and biotechnology companies that develop and commercialize therapeutics for the treatment of a broad range of disease areas and indications. Additionally, we compete with companies that utilize advanced drug administration platforms, such as oral, injectable, intranasal, transdermal patch and pulmonary delivery, to create improved therapeutics over current standards of care. This industry is highly competitive and new products and technologies evolve and come to market at a rapid pace. The companies operating in this market include multinational organizations, established biotechnology companies, single product pharmaceutical and biotechnology companies, specialty pharmaceutical companies, and generic drug companies. Many of the larger, established organizations currently have commercialization capabilities in-house, and may have partnership or license agreements in place with smaller companies for commercialization rights. These companies may develop new drugs to treat the indications that we target or seek to have existing drugs approved for the treatment of the indications that we target.</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will compete with commercialized products in all markets for which we have approval and are seeking approval.</w:t>
      </w:r>
    </w:p>
    <w:p>
      <w:pPr>
        <w:spacing w:after="0" w:line="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biotechnology and pharmaceutical industries are characterized by rapid evolution and advancements of technologies, intense competition and strong defense of intellectual property. Any products and product candidates that we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and the ease of use and effectiveness of any companion diagnostics. The level of generic competition and the availability of reimbursement from government and other third-party payors will also significantly affect the pricing and competitiveness of our products.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Anaphylaxis</w:t>
      </w:r>
    </w:p>
    <w:p>
      <w:pPr>
        <w:spacing w:after="0" w:line="96"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4"/>
          <w:szCs w:val="14"/>
          <w:color w:val="auto"/>
        </w:rPr>
        <w:t>We expect that, if approved by the FDA, Anaphylm would compete with several existing products and other product candidates that target Type I allergic reactions. Among these are needle device-based treatments that have been accepted as standard of care treatment for many years, including autoinjectors such as EpiPen</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color w:val="auto"/>
        </w:rPr>
        <w:t xml:space="preserve"> marketed by Teva, and generics of EpiPen marketed by Viatris, Inc., Adrenaclick</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color w:val="auto"/>
        </w:rPr>
        <w:t xml:space="preserve"> marketed by Amneal Pharmaceuticals, LLC, and Auvi-Q</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color w:val="auto"/>
        </w:rPr>
        <w:t xml:space="preserve"> marketed by Kaleo Inc. and syringe device Symjep</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color w:val="auto"/>
        </w:rPr>
        <w:t xml:space="preserve"> marketed by U.S. Worldmeds. In August 2024, ARS Pharmaceuticals, Inc. announced its product neffy</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color w:val="auto"/>
        </w:rPr>
        <w:t>, a nasal spray epinephrine delivery device, was approved by the FDA and EMA for the treatment of severe allergic reactions, including anaphylaxis. Subsequently, ARS announced a licensing agreement with ALK-Abello A/S to commercialize neffy in Europe, Canada and other territories outside of the United States. Neffy is currently marketed and available to patients in the U.S. There are other non-needle device based treatments in earlier phases of development that have not yet been approved for marketing in the United States by the FDA.</w:t>
      </w:r>
    </w:p>
    <w:p>
      <w:pPr>
        <w:spacing w:after="0" w:line="16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believe that Anaphylm is the first and only orally delivered epinephrine prodrug product candidate in development to demonstrate clinical results comparable to autoinjectors such as EpiPen and Auvi-Q for the emergency treatment of allergic reactions, including anaphylaxis. We believe Anaphylm is well positioned as a non-device based treatment option for this indication, if approved by the FDA, due to its comparable efficacy to existing auto-injector and nasal spray products, easy portability and convenience of use.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Epilepsy</w:t>
      </w:r>
    </w:p>
    <w:p>
      <w:pPr>
        <w:spacing w:after="0" w:line="91"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4"/>
          <w:szCs w:val="14"/>
          <w:color w:val="auto"/>
        </w:rPr>
        <w:t>On January 10, 2020, a competitor of Aquestive obtained FDA approval of its diazepam nasal spray drug candidate, Valtoco</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color w:val="auto"/>
        </w:rPr>
        <w:t>, and was granted orphan-drug-exclusivity for this drug commencing as of January 10, 2020. A company that obtains FDA approval for a designated orphan drug receives orphan market exclusivity for that drug for the designated indication for a period of seven years from the grant date in the United States. This orphan drug exclusivity approval prevents a subsequent product seeking FDA approval from being marketed in the United States during the exclusivity period for the same active moiety for the same orphan drug indication except in the case where the drug candidate sponsor is able to demonstrate, and the FDA concludes, that the later drug is “clinically superior” to the approved products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safer, more effective, or providing a major contribution to patient care) within the meaning of FDA regulations and guidance. In assessing whether a drug candidate sponsor has demonstrated that its drug candidate provides a “major contribution to patient care” over and above the currently</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8" w:name="page19"/>
    <w:bookmarkEnd w:id="18"/>
    <w:p>
      <w:pPr>
        <w:jc w:val="both"/>
        <w:spacing w:after="0" w:line="270" w:lineRule="auto"/>
        <w:rPr>
          <w:sz w:val="20"/>
          <w:szCs w:val="20"/>
          <w:color w:val="auto"/>
        </w:rPr>
      </w:pPr>
      <w:r>
        <w:rPr>
          <w:rFonts w:ascii="Times New Roman" w:cs="Times New Roman" w:eastAsia="Times New Roman" w:hAnsi="Times New Roman"/>
          <w:sz w:val="14"/>
          <w:szCs w:val="14"/>
          <w:color w:val="auto"/>
        </w:rPr>
        <w:t>approved drugs, which is evaluated by the FDA on a case by case basis, there is no single objective standard and the FDA may, in appropriate circumstances, consider such factors as convenience of treatment location, duration of treatment, patient comfort, reduced treatment burden, advances in ease and comfort of drug administration, longer periods between doses, and potential for self-administration.</w:t>
      </w:r>
    </w:p>
    <w:p>
      <w:pPr>
        <w:spacing w:after="0" w:line="38"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4"/>
          <w:szCs w:val="14"/>
          <w:color w:val="auto"/>
        </w:rPr>
        <w:t>In August 2022, the FDA granted tentative approval for Libervant for the acute treatment of intermittent, stereotypic episodes of frequent seizure activity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seizure clusters, acute repetitive seizures) (or ARS) that are distinct from a patient’s usual seizure pattern in patients with epilepsy 12 years of age and older. The FDA concluded that Libervant had met all required quality, safety, and efficacy standards for approval. However, as a result of the orphan drug marketing exclusivity previously granted by the FDA to Valtoco, the FDA cannot give final approval for U.S. market access for Libervant for any age group of 6 years and above until the expiration or inapplicability of the orphan drug market exclusivity scheduled to occur in January, 2027. Due to this existing FDA regulatory grant of orphan drug market exclusivity, the FDA determined that Libervant was not yet eligible for marketing in the United States for this patient population of 12 years of age and older. We expect to file for FDA approval of these epilepsy patients aged between 6 and 11 years prior to the expiration of the orphan drug marketing exclusivity block of the nasal spray product.</w:t>
      </w:r>
    </w:p>
    <w:p>
      <w:pPr>
        <w:spacing w:after="0" w:line="329"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September 2023, the FDA accepted Aquestive's NDA for Libervant (diazepam) Buccal Film for ARS patients between two and five years of age. On April 26, 2024, the FDA approved Libervant for U.S. market access for ARS patients between two and five years of age. On December 18, 2024, the FDA granted seven years of ODE to Libervant for the treatment of ARS patients between two and five years of age. Libervant is the first and only orally administered rescue product for the treatment of ARS patients between ages two and five years. The only other current FDA approved product on the market for these epilepsy patients between two and five years of age at the time of approval of Libervant for this pediatric age group was a diazepam rectal gel.</w:t>
      </w:r>
    </w:p>
    <w:p>
      <w:pPr>
        <w:spacing w:after="0" w:line="54"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On February 14, 2025, in a lawsuit brought by Neurelis, Inc. ("Neurelis") against the FDA (</w:t>
      </w:r>
      <w:r>
        <w:rPr>
          <w:rFonts w:ascii="Times New Roman" w:cs="Times New Roman" w:eastAsia="Times New Roman" w:hAnsi="Times New Roman"/>
          <w:sz w:val="14"/>
          <w:szCs w:val="14"/>
          <w:i w:val="1"/>
          <w:iCs w:val="1"/>
          <w:color w:val="auto"/>
        </w:rPr>
        <w:t>Neurelis, Inc. v. Califf,</w:t>
      </w:r>
      <w:r>
        <w:rPr>
          <w:rFonts w:ascii="Times New Roman" w:cs="Times New Roman" w:eastAsia="Times New Roman" w:hAnsi="Times New Roman"/>
          <w:sz w:val="14"/>
          <w:szCs w:val="14"/>
          <w:color w:val="auto"/>
        </w:rPr>
        <w:t xml:space="preserve"> for which the Company joined as a Defendant Intervenor) challenging the FDA's approval of Libervant for ARS patients aged between two and five years, the court ruled in favor of Neurelis, granting its summary judgment motion, and against the FDA's and the Company's cross-motions for summary judgment. In an accompanying opinion, the court directed the FDA to vacate the approval of Libervant. As a result of the District Court's ruling, the FDA converted the approval of Libervant to a "tentative approval" and the Company has ceased marketing activities in the United States. See Part II, Item 8. Financial Statements and Supplementary Data, Note 23, </w:t>
      </w:r>
      <w:r>
        <w:rPr>
          <w:rFonts w:ascii="Times New Roman" w:cs="Times New Roman" w:eastAsia="Times New Roman" w:hAnsi="Times New Roman"/>
          <w:sz w:val="14"/>
          <w:szCs w:val="14"/>
          <w:i w:val="1"/>
          <w:iCs w:val="1"/>
          <w:color w:val="auto"/>
        </w:rPr>
        <w:t xml:space="preserve">Contingencies - Neurelis FDA Lawsuit" </w:t>
      </w:r>
      <w:r>
        <w:rPr>
          <w:rFonts w:ascii="Times New Roman" w:cs="Times New Roman" w:eastAsia="Times New Roman" w:hAnsi="Times New Roman"/>
          <w:sz w:val="14"/>
          <w:szCs w:val="14"/>
          <w:color w:val="auto"/>
        </w:rPr>
        <w:t>for a discussion of the FDA case and new legislation clarifying the Orphan Drug Act.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Material Agreements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More details regarding material agreements are described in Part II, Item 8. Financial Statements and Supplementary Data, Note 7, </w:t>
      </w:r>
      <w:r>
        <w:rPr>
          <w:rFonts w:ascii="Times New Roman" w:cs="Times New Roman" w:eastAsia="Times New Roman" w:hAnsi="Times New Roman"/>
          <w:sz w:val="14"/>
          <w:szCs w:val="14"/>
          <w:i w:val="1"/>
          <w:iCs w:val="1"/>
          <w:color w:val="auto"/>
        </w:rPr>
        <w:t>Material Agreements</w:t>
      </w:r>
      <w:r>
        <w:rPr>
          <w:rFonts w:ascii="Times New Roman" w:cs="Times New Roman" w:eastAsia="Times New Roman" w:hAnsi="Times New Roman"/>
          <w:sz w:val="14"/>
          <w:szCs w:val="14"/>
          <w:color w:val="auto"/>
        </w:rPr>
        <w: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currently seek, and intend to continue seeking, patent protection whenever commercially reasonable for any patentable aspects of our product candidates and related technology or any new products or product candidates we acquire in the future. Where our intellectual property is not protected by patents, we may seek to protect it through other means, including maintenance of trade secrets and careful protection of our proprietary information.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Patents</w:t>
      </w:r>
    </w:p>
    <w:p>
      <w:pPr>
        <w:spacing w:after="0" w:line="9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Our patent portfolio currently comprises at least 140 issued patents worldwide, of which at least 30 are U.S. patents, and more than 110 pending patent applications worldwide. These issued patents and pending patent applications provide process of making, composition of matter and method of treatment protection for our PharmFilm technology and products and product candidates, including Suboxone®, Libervant® and Anaphylm™ and our PharmFilm formulations of clobazam and riluzole. These granted patents will likely expire between 2036 and 2037. The pending patent applications will provide composition of matter, process of making protection and method of treatment for our PharmFilm dosage formulations of diazepam and epinephrine and, if issued as patents, will likely expire by 2037 and 2045, respectively. The projected expiration dates exclude any patent term adjustment or patent term extension.</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color w:val="auto"/>
        </w:rPr>
        <w:t>PharmFilm</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 Our Oral Film Technology</w:t>
      </w:r>
    </w:p>
    <w:p>
      <w:pPr>
        <w:spacing w:after="0" w:line="48"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4"/>
          <w:szCs w:val="14"/>
          <w:color w:val="auto"/>
        </w:rPr>
        <w:t>The PharmFilm</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color w:val="auto"/>
        </w:rPr>
        <w:t xml:space="preserve"> technology patents and/or patent applications also generically and specifically protect the technology utilized in the products in our CNS programs, our complex molecule programs, as well as our licensee programs. For example, encompassed within our platform technology patents and/or patent applications is specific coverage directed to PharmFilm dosage formulations of CNS molecules such as diazepam. Also encompassed within our platform technology is coverage for our complex molecule program which includes molecules such as epinephrine and technology applicable to our product candidate Anaphylm. Our platform technology patents and/or patent applications further cover the product candidate Libervant™ and Suboxone® and Ondif® licensed products, as well as our formulations of the molecules apomorphine, which is part of our licensed programs. The expiration dates for patents covering PharmFilm products and product candidates, and for pending applications if issued as patents, extend from 2025 to 2044, excluding any patent term adjustment or patent term extension.</w:t>
      </w:r>
    </w:p>
    <w:p>
      <w:pPr>
        <w:spacing w:after="0" w:line="169"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We note that several of our issued patents have been involved in administrative proceedings, such as reexamination and inter partes review at the U.S. Patent and Trademark Office, or USPTO, and opposition at the European Patent Organization, or EPO. Certain of our patents and patent applications, if granted, will be published in the FDA’s Approved Drug Products with Therapeutic Equivalence Evaluations, commonly known as the Orange Book. Drugs listed in the Orange Book can, in turn, be cited by potential generic competitors in support of approval of an ANDA or a 505(b)(2) NDA. If any of these potential generic competitors claim that their product will not infringe our listed patents, or that such patents are invalid, then they must send notice to us once the ANDA or 505(b)(2) NDA has been accepted for filing by the FDA. We may then initiate a patent infringement lawsuit in response to the notice of the Paragraph IV certification, which would automatically prevent the FDA from approving the ANDA or 505(b)(2) NDA until the earlier of 30 months, expiration of the patent, settlement of the lawsuit, or a decision in the infringement case that is favorable to the ANDA or 505(b)(2) NDA applicant.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AdrenaVerse™– Our Epinephrine Prodrug Platform Technology</w:t>
      </w:r>
    </w:p>
    <w:p>
      <w:pPr>
        <w:spacing w:after="0" w:line="202"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Our AdrenaVerse™ technology is covered by at least 4 patent families. These patent families provide process, composition of matter protection for our AdrenaVerse™ technology. The patents and pending patent applications, if issued as patents by the PTO, will likely expire between 2037 and 2045, excluding any patent term adjustment or patent term extension.</w:t>
      </w:r>
    </w:p>
    <w:p>
      <w:pPr>
        <w:spacing w:after="0" w:line="14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rest of our patent portfolio largely relates to patents and applications owned by us and directed to our product development portfolio and other product candidates and related compositions and/or manufacturing processes.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Trade Secrets and Other Proprietary Information</w:t>
      </w:r>
    </w:p>
    <w:p>
      <w:pPr>
        <w:spacing w:after="0" w:line="9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We seek to protect our proprietary information, including our trade secrets and proprietary know-how, by requiring our colleagues, consultants and other advisors to execute confidentiality agreements upon the commencement of their employment or engagement. These agreements generally provide that all confidential information developed or made known during the relationship with us be kept confidential and not be disclosed to third parties except in specific circumstances, nor used outside the scope of their employment. In the case of our colleagues, the agreements also typically provide that all inventions resulting from work performed for us, utilizing our property or relating to our business and conceived or completed during employment shall be our exclusive property to the extent permitted by law. Where appropriate, agreements we obtain with our consultants also typically contain similar assignment of invention provisions. Further, we generally require confidentiality agreements from third parties that receive our confidential information. There can be no assurance, however, that these agreements will provide meaningful protection or adequate remedies for our trade secrets in the event of unauthorized use or disclosure of such information.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Trademarks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also rely on trademarks to develop and maintain our competitive position. Our trademarks or registered trademarks are filed in the United States and other select geographical areas.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FDA Approval Process</w:t>
      </w:r>
    </w:p>
    <w:p>
      <w:pPr>
        <w:spacing w:after="0" w:line="9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In the United States, pharmaceutical products are subject to extensive regulation by the FDA. The FDCA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applicable FDA or other requirements may subject a company to a variety of administrative or judicial sanctions, such as FDA refusal to approve pending applications, clinical holds, warning or untitled letters, product recalls, product seizures, total or partial suspension of production or distribution, withdrawal of product from the market, injunctions, fines, civil penalties and criminal prosecution.</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5" w:right="319" w:bottom="1440" w:gutter="0" w:footer="0" w:header="0"/>
        </w:sectPr>
      </w:pPr>
    </w:p>
    <w:bookmarkStart w:id="20" w:name="page21"/>
    <w:bookmarkEnd w:id="20"/>
    <w:p>
      <w:pPr>
        <w:ind w:firstLine="509"/>
        <w:spacing w:after="0" w:line="287" w:lineRule="auto"/>
        <w:rPr>
          <w:sz w:val="20"/>
          <w:szCs w:val="20"/>
          <w:color w:val="auto"/>
        </w:rPr>
      </w:pPr>
      <w:r>
        <w:rPr>
          <w:rFonts w:ascii="Times New Roman" w:cs="Times New Roman" w:eastAsia="Times New Roman" w:hAnsi="Times New Roman"/>
          <w:sz w:val="14"/>
          <w:szCs w:val="14"/>
          <w:color w:val="auto"/>
        </w:rPr>
        <w:t>FDA approval is required before any new drug or dosage form, including a new use of a previously approved drug, can be marketed in the United States. The process required by the FDA before a new drug may be marketed in the United States generally involves:</w:t>
      </w:r>
    </w:p>
    <w:p>
      <w:pPr>
        <w:spacing w:after="0" w:line="39" w:lineRule="exact"/>
        <w:rPr>
          <w:sz w:val="20"/>
          <w:szCs w:val="20"/>
          <w:color w:val="auto"/>
        </w:rPr>
      </w:pPr>
    </w:p>
    <w:p>
      <w:pPr>
        <w:ind w:left="760" w:hanging="246"/>
        <w:spacing w:after="0"/>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completion of preclinical laboratory and animal testing and formulation studies in compliance with the FDA’s GLP regulations;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submission to the FDA of an IND, application for human clinical testing which must become effective before human clinical trials may begin in the United States;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by an independent IRB at each clinical trial site before each trial may be initiated;</w:t>
      </w:r>
    </w:p>
    <w:p>
      <w:pPr>
        <w:spacing w:after="0" w:line="93" w:lineRule="exact"/>
        <w:rPr>
          <w:rFonts w:ascii="Times New Roman" w:cs="Times New Roman" w:eastAsia="Times New Roman" w:hAnsi="Times New Roman"/>
          <w:sz w:val="14"/>
          <w:szCs w:val="14"/>
          <w:color w:val="auto"/>
        </w:rPr>
      </w:pPr>
    </w:p>
    <w:p>
      <w:pPr>
        <w:ind w:left="760" w:hanging="246"/>
        <w:spacing w:after="0" w:line="287" w:lineRule="auto"/>
        <w:tabs>
          <w:tab w:leader="none" w:pos="75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of adequate and well-controlled human clinical trials in accordance with current good clinical practices, or GCP, to establish the safety and efficacy of the proposed drug product for each intended use;</w:t>
      </w:r>
    </w:p>
    <w:p>
      <w:pPr>
        <w:spacing w:after="0" w:line="3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submission to the FDA of an NDA;</w:t>
      </w:r>
    </w:p>
    <w:p>
      <w:pPr>
        <w:spacing w:after="0" w:line="114"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9"/>
        </w:numPr>
        <w:rPr>
          <w:rFonts w:ascii="Arial" w:cs="Arial" w:eastAsia="Arial" w:hAnsi="Arial"/>
          <w:sz w:val="17"/>
          <w:szCs w:val="17"/>
          <w:color w:val="auto"/>
        </w:rPr>
      </w:pPr>
      <w:r>
        <w:rPr>
          <w:rFonts w:ascii="Times New Roman" w:cs="Times New Roman" w:eastAsia="Times New Roman" w:hAnsi="Times New Roman"/>
          <w:sz w:val="14"/>
          <w:szCs w:val="14"/>
          <w:color w:val="auto"/>
        </w:rPr>
        <w:t>satisfactory completion of potential clinical site inspection(s) to assure studies are conducted in accordance with Good Clinical Practice (GCP) regulations;</w:t>
      </w:r>
    </w:p>
    <w:p>
      <w:pPr>
        <w:spacing w:after="0" w:line="176" w:lineRule="exact"/>
        <w:rPr>
          <w:rFonts w:ascii="Arial" w:cs="Arial" w:eastAsia="Arial" w:hAnsi="Arial"/>
          <w:sz w:val="17"/>
          <w:szCs w:val="17"/>
          <w:color w:val="auto"/>
        </w:rPr>
      </w:pPr>
    </w:p>
    <w:p>
      <w:pPr>
        <w:ind w:left="760" w:hanging="246"/>
        <w:spacing w:after="0" w:line="287" w:lineRule="auto"/>
        <w:tabs>
          <w:tab w:leader="none" w:pos="75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satisfactory completion of a potential FDA pre-approval inspection(s) of the facility or facilities at which the product is manufactured to assess compliance with the FDA’s current cGMP regulations to assure that the facilities, methods and controls are adequate to preserve the drug’s identity, strength, quality and purity;</w:t>
      </w:r>
    </w:p>
    <w:p>
      <w:pPr>
        <w:spacing w:after="0" w:line="28" w:lineRule="exact"/>
        <w:rPr>
          <w:rFonts w:ascii="Times New Roman" w:cs="Times New Roman" w:eastAsia="Times New Roman" w:hAnsi="Times New Roman"/>
          <w:sz w:val="14"/>
          <w:szCs w:val="14"/>
          <w:color w:val="auto"/>
        </w:rPr>
      </w:pPr>
    </w:p>
    <w:p>
      <w:pPr>
        <w:ind w:left="760" w:right="20" w:hanging="246"/>
        <w:spacing w:after="0" w:line="271" w:lineRule="auto"/>
        <w:tabs>
          <w:tab w:leader="none" w:pos="75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satisfactory completion of a potential review at a public FDA Advisory Committee meeting; which is a meeting of independent outside experts that provide advice and recommendations to the FDA; and</w:t>
      </w:r>
    </w:p>
    <w:p>
      <w:pPr>
        <w:spacing w:after="0" w:line="15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FDA review and approval of the NDA.</w:t>
      </w:r>
    </w:p>
    <w:p>
      <w:pPr>
        <w:spacing w:after="0" w:line="9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preclinical and clinical testing and approval process takes many years and the actual time required to obtain approval, if any, may vary substantially based upon the type, complexity and novelty of the product or disease.</w:t>
      </w:r>
    </w:p>
    <w:p>
      <w:pPr>
        <w:spacing w:after="0" w:line="39"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Preclinical tests include laboratory evaluation of product chemistry, formulation and toxicity, as well as animal studies to assess the characteristics and potential safety and efficacy of the product. The conduct of the preclinical tests must comply with federal regulations and requirements, including current GLP. The results of preclinical testing are submitted to the FDA as part of an IND application along with other information, including information about product chemistry, manufacturing and controls and a proposed clinical trial protocol. Long-term preclinical tests, such as animal tests of reproductive toxicity and carcinogenicity, may continue after the IND application is submitted.</w:t>
      </w:r>
    </w:p>
    <w:p>
      <w:pPr>
        <w:spacing w:after="0" w:line="56"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The IND application automatically becomes effective 30 days after receipt by the FDA, unless the FDA, within the 30-day time period, raises concerns or questions relating to one or more proposed clinical trials and places the clinical trial on a clinical hold, including concerns that human research subjects will be exposed to unreasonable health risks. In such a case, the IND sponsor and the FDA must resolve any outstanding concerns before the clinical trial can begin. A separate submission to an existing IND application must also be made for each successive clinical trial conducted during product development. Further, an independent IRB, covering each site proposing to conduct the clinical trial must review and approve the plan for any clinical trial and informed consent information for subjects before the trial commences at that site and it must monitor the study until completed. The FDA, the IRB, or the sponsor may suspend a clinical trial at any time on various grounds, including a finding that the subjects or patients are being exposed to an unacceptable health risk or for failure to comply with the IRB’s requirements, or may impose other conditions. Clinical trials involve the administration of the investigational new drug to healthy volunteers or patients under the supervision of a qualified investigator in accordance with GCP requirements, which includes the requirement that all research subjects provide their informed consent in writing for their participation in any clinical trial. Sponsors of clinical trials generally must register and report, at the NIH-maintained website ClinicalTrials.gov, key parameters of certain clinical trials.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1" w:name="page22"/>
    <w:bookmarkEnd w:id="21"/>
    <w:p>
      <w:pPr>
        <w:ind w:left="520"/>
        <w:spacing w:after="0"/>
        <w:rPr>
          <w:sz w:val="20"/>
          <w:szCs w:val="20"/>
          <w:color w:val="auto"/>
        </w:rPr>
      </w:pPr>
      <w:r>
        <w:rPr>
          <w:rFonts w:ascii="Times New Roman" w:cs="Times New Roman" w:eastAsia="Times New Roman" w:hAnsi="Times New Roman"/>
          <w:sz w:val="14"/>
          <w:szCs w:val="14"/>
          <w:color w:val="auto"/>
        </w:rPr>
        <w:t>For purposes of an NDA submission and approval, human clinical trials are typically conducted in the following sequential phases, which may overlap or be combined:</w:t>
      </w:r>
    </w:p>
    <w:p>
      <w:pPr>
        <w:spacing w:after="0" w:line="123" w:lineRule="exact"/>
        <w:rPr>
          <w:sz w:val="20"/>
          <w:szCs w:val="20"/>
          <w:color w:val="auto"/>
        </w:rPr>
      </w:pPr>
    </w:p>
    <w:p>
      <w:pPr>
        <w:jc w:val="right"/>
        <w:ind w:left="520" w:right="4040"/>
        <w:spacing w:after="0" w:line="226" w:lineRule="auto"/>
        <w:rPr>
          <w:sz w:val="20"/>
          <w:szCs w:val="20"/>
          <w:color w:val="auto"/>
        </w:rPr>
      </w:pPr>
      <w:r>
        <w:rPr>
          <w:rFonts w:ascii="Times New Roman" w:cs="Times New Roman" w:eastAsia="Times New Roman" w:hAnsi="Times New Roman"/>
          <w:sz w:val="14"/>
          <w:szCs w:val="14"/>
          <w:i w:val="1"/>
          <w:iCs w:val="1"/>
          <w:color w:val="auto"/>
        </w:rPr>
        <w:t xml:space="preserve">Phase </w:t>
      </w:r>
      <w:r>
        <w:rPr>
          <w:rFonts w:ascii="Times New Roman" w:cs="Times New Roman" w:eastAsia="Times New Roman" w:hAnsi="Times New Roman"/>
          <w:sz w:val="14"/>
          <w:szCs w:val="14"/>
          <w:color w:val="auto"/>
        </w:rPr>
        <w:t>1    In Phase 1, through the initial introduction of the drug into healthy human subjects or patients, the drug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 tested to assess metabolism, pharmacokinetics, pharmacological actions, side effects associated with</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increasing doses, and, if possible, early evidence on effectiveness.</w:t>
      </w:r>
    </w:p>
    <w:p>
      <w:pPr>
        <w:spacing w:after="0" w:line="76" w:lineRule="exact"/>
        <w:rPr>
          <w:sz w:val="20"/>
          <w:szCs w:val="20"/>
          <w:color w:val="auto"/>
        </w:rPr>
      </w:pPr>
    </w:p>
    <w:p>
      <w:pPr>
        <w:jc w:val="right"/>
        <w:ind w:left="520" w:right="4040"/>
        <w:spacing w:after="0" w:line="226" w:lineRule="auto"/>
        <w:rPr>
          <w:sz w:val="20"/>
          <w:szCs w:val="20"/>
          <w:color w:val="auto"/>
        </w:rPr>
      </w:pPr>
      <w:r>
        <w:rPr>
          <w:rFonts w:ascii="Times New Roman" w:cs="Times New Roman" w:eastAsia="Times New Roman" w:hAnsi="Times New Roman"/>
          <w:sz w:val="14"/>
          <w:szCs w:val="14"/>
          <w:i w:val="1"/>
          <w:iCs w:val="1"/>
          <w:color w:val="auto"/>
        </w:rPr>
        <w:t xml:space="preserve">Phase </w:t>
      </w:r>
      <w:r>
        <w:rPr>
          <w:rFonts w:ascii="Times New Roman" w:cs="Times New Roman" w:eastAsia="Times New Roman" w:hAnsi="Times New Roman"/>
          <w:sz w:val="14"/>
          <w:szCs w:val="14"/>
          <w:color w:val="auto"/>
        </w:rPr>
        <w:t>2    Phase 2 usually involves trials in a limited patient population to determine the effectiveness of the drug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a particular indication, dosage tolerance and optimum dosage, and to identify common adverse</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effects and safety risks.</w:t>
      </w:r>
    </w:p>
    <w:p>
      <w:pPr>
        <w:spacing w:after="0" w:line="76" w:lineRule="exact"/>
        <w:rPr>
          <w:sz w:val="20"/>
          <w:szCs w:val="20"/>
          <w:color w:val="auto"/>
        </w:rPr>
      </w:pPr>
    </w:p>
    <w:p>
      <w:pPr>
        <w:jc w:val="right"/>
        <w:ind w:left="520" w:right="4040"/>
        <w:spacing w:after="0" w:line="226" w:lineRule="auto"/>
        <w:rPr>
          <w:sz w:val="20"/>
          <w:szCs w:val="20"/>
          <w:color w:val="auto"/>
        </w:rPr>
      </w:pPr>
      <w:r>
        <w:rPr>
          <w:rFonts w:ascii="Times New Roman" w:cs="Times New Roman" w:eastAsia="Times New Roman" w:hAnsi="Times New Roman"/>
          <w:sz w:val="14"/>
          <w:szCs w:val="14"/>
          <w:i w:val="1"/>
          <w:iCs w:val="1"/>
          <w:color w:val="auto"/>
        </w:rPr>
        <w:t xml:space="preserve">Phase </w:t>
      </w:r>
      <w:r>
        <w:rPr>
          <w:rFonts w:ascii="Times New Roman" w:cs="Times New Roman" w:eastAsia="Times New Roman" w:hAnsi="Times New Roman"/>
          <w:sz w:val="14"/>
          <w:szCs w:val="14"/>
          <w:color w:val="auto"/>
        </w:rPr>
        <w:t>3    Phase 3 trials are undertaken to obtain the additional information about clinical efficacy and safety in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larger number of patients, typically at geographically dispersed clinical trial sites, to permit the FDA to</w:t>
      </w:r>
    </w:p>
    <w:p>
      <w:pPr>
        <w:spacing w:after="0" w:line="1" w:lineRule="exact"/>
        <w:rPr>
          <w:sz w:val="20"/>
          <w:szCs w:val="20"/>
          <w:color w:val="auto"/>
        </w:rPr>
      </w:pPr>
    </w:p>
    <w:p>
      <w:pPr>
        <w:jc w:val="both"/>
        <w:ind w:left="1280" w:right="4040"/>
        <w:spacing w:after="0" w:line="210" w:lineRule="auto"/>
        <w:rPr>
          <w:sz w:val="20"/>
          <w:szCs w:val="20"/>
          <w:color w:val="auto"/>
        </w:rPr>
      </w:pPr>
      <w:r>
        <w:rPr>
          <w:rFonts w:ascii="Times New Roman" w:cs="Times New Roman" w:eastAsia="Times New Roman" w:hAnsi="Times New Roman"/>
          <w:sz w:val="14"/>
          <w:szCs w:val="14"/>
          <w:color w:val="auto"/>
        </w:rPr>
        <w:t>evaluate the overall benefit-risk relationship of the drug and to provide adequate information for the labeling of the drug. In most cases, the FDA requires two adequate and well controlled Phase 3 clinical trials to demonstrate the efficacy of the drug. A single Phase 3 trial with other confirmatory evidence</w:t>
      </w:r>
    </w:p>
    <w:p>
      <w:pPr>
        <w:spacing w:after="0" w:line="2" w:lineRule="exact"/>
        <w:rPr>
          <w:sz w:val="20"/>
          <w:szCs w:val="20"/>
          <w:color w:val="auto"/>
        </w:rPr>
      </w:pPr>
    </w:p>
    <w:p>
      <w:pPr>
        <w:jc w:val="both"/>
        <w:ind w:left="1280" w:right="4040"/>
        <w:spacing w:after="0" w:line="210" w:lineRule="auto"/>
        <w:rPr>
          <w:sz w:val="20"/>
          <w:szCs w:val="20"/>
          <w:color w:val="auto"/>
        </w:rPr>
      </w:pPr>
      <w:r>
        <w:rPr>
          <w:rFonts w:ascii="Times New Roman" w:cs="Times New Roman" w:eastAsia="Times New Roman" w:hAnsi="Times New Roman"/>
          <w:sz w:val="14"/>
          <w:szCs w:val="14"/>
          <w:color w:val="auto"/>
        </w:rPr>
        <w:t>may be sufficient in rare instances where the study is a large multicenter trial demonstrating internal consistency and a statistically persuasive finding of a clinically meaningful effect on mortality, irreversible morbidity or prevention of a disease with a potentially serious outcome and confirmation of</w:t>
      </w:r>
    </w:p>
    <w:p>
      <w:pPr>
        <w:spacing w:after="0" w:line="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the result in a second trial would be practically or ethically impossible.</w:t>
      </w:r>
    </w:p>
    <w:p>
      <w:pPr>
        <w:spacing w:after="0" w:line="322"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After completion of the required clinical testing, an NDA is prepared and submitted to the FDA. FDA approval of the NDA is required before marketing of the product may begin in the United States. The NDA must include the results of all preclinical, clinical and other testing and a compilation of data relating to the product’s pharmacology, chemistry, manufacture and controls. Under federal law, the submission of most NDAs is subject to a substantial application user fee, and applicant under an approved NDA is also subject to an annual program fee for each prescription drug product, which beginning in Fiscal Year 2018 replaced the product and establishment fees. The PDUFA defines the metrics FDA must meet as a result of the fee payment.</w:t>
      </w:r>
    </w:p>
    <w:p>
      <w:pPr>
        <w:spacing w:after="0" w:line="162"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The FDA has 60 days from its receipt of an NDA to determine whether the application will be accepted for filing based on the Agency’s threshold determination that it is sufficiently complete to permit substantive review. The FDA may request additional information rather than accept an NDA for filing. In this event, the NDA must be resubmitted with the additional information and is subject to payment of additional user fees. The resubmitted application is also subject to review before the FDA accepts it for filing. Once the submission is accepted for filing, the FDA begins an in-depth substantive review. Under PDUFA, the FDA has agreed to certain performance goals in the review of NDAs through a two-tiered classification system, Standard Review and Priority Review. Priority Review designation is given to drugs that offer major advances in treatment or provide a treatment where no adequate therapy exists. The FDA endeavors to review applications subject to Standard Review within ten to twelve months, whereas the FDA’s goal is to review Priority Review applications within six to eight months.</w:t>
      </w:r>
    </w:p>
    <w:p>
      <w:pPr>
        <w:spacing w:after="0" w:line="6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After the FDA evaluates the NDA and the manufacturing facilities and possibly conducts a sponsor inspection, it issues either an approval letter or a complete response letter. A complete response letter generally outlines the deficiencies in the NDA and may require substantial additional testing, or information, in order for the FDA to reconsider the application. In issuing the complete response letter, the FDA may recommend actions that the applicant might take to place the NDA in condition for approval, including requests for additional information or clarification. The FDA may delay or refuse approval of an NDA if applicable regulatory criteria are not satisfied, require additional testing or information and/or require post-marketing testing and surveillance to monitor safety or efficacy of a product. Even with submission of this additional information, the FDA may ultimately decide that an application does not satisfy the regulatory criteria for approval. If, or when, the deficiencies have been addressed to the FDA’s satisfaction in a resubmission of the NDA, the FDA will issue an approval letter. The review by the FDA is two months for a Class I resubmission and six months for a Class 2 resubmission. An approval letter authorizes commercial marketing of the drug with specific prescribing information for specific indications.</w:t>
      </w:r>
    </w:p>
    <w:p>
      <w:pPr>
        <w:spacing w:after="0" w:line="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As a condition of NDA approval, the FDA may require a REMS to help ensure that the benefits of the drug outweigh the potential risks. If the FDA determines a REMS is necessary during review of the application, the drug sponsor must agree to the REMS plan at the time of approval. A REMS may be required to include various elements, such as a medication guide or patient package insert, a communication plan to educate healthcare providers of the drug’s risks, limitations on who may prescribe or dispense the drug, or other elements to assure safe use, such as special training or certification for prescribing or dispensing, dispensing only under certain circumstances, special monitoring and the use of patient registries. In addition, the REMS must include a timetable to periodically assess whether the REMS plan is effective. The requirement for a REMS can materially affect the potential market and profitability of a drug.</w:t>
      </w:r>
    </w:p>
    <w:p>
      <w:pPr>
        <w:spacing w:after="0" w:line="5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Moreover, product approval may require substantial post-approval testing and surveillance to monitor the drug’s safety or efficacy, and the FDA has the authority to prevent or limit further marketing of a product based on the results of these post-</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2" w:name="page23"/>
    <w:bookmarkEnd w:id="22"/>
    <w:p>
      <w:pPr>
        <w:jc w:val="both"/>
        <w:spacing w:after="0" w:line="270" w:lineRule="auto"/>
        <w:rPr>
          <w:sz w:val="20"/>
          <w:szCs w:val="20"/>
          <w:color w:val="auto"/>
        </w:rPr>
      </w:pPr>
      <w:r>
        <w:rPr>
          <w:rFonts w:ascii="Times New Roman" w:cs="Times New Roman" w:eastAsia="Times New Roman" w:hAnsi="Times New Roman"/>
          <w:sz w:val="14"/>
          <w:szCs w:val="14"/>
          <w:color w:val="auto"/>
        </w:rPr>
        <w:t>marketing programs. Once granted, product approvals may be withdrawn if compliance with regulatory standards is not maintained, or problems are identified following initial marketing. Drugs may be marketed only for the approved indications and in accordance with the provisions of the approved label, and, even if the FDA approves a product, it may limit the approved indications for use for the product or impose other conditions, including labeling or distribution restrictions or other risk-management mechanisms.</w:t>
      </w:r>
    </w:p>
    <w:p>
      <w:pPr>
        <w:spacing w:after="0" w:line="5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Further changes to some of the conditions established in an approved application, including changes in indications, labeling, or manufacturing processes or facilities, require submission and FDA approval of a new NDA or NDA supplement before the change can be implemented, which may require us to develop additional data or conduct additional preclinical studies and clinical trials. An NDA supplement for a new indication typically requires clinical data similar to that in the original application, and the FDA uses similar procedures in reviewing NDA supplements as it does in reviewing NDAs.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Post-Approval Requirements</w:t>
      </w:r>
    </w:p>
    <w:p>
      <w:pPr>
        <w:spacing w:after="0" w:line="9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4"/>
          <w:szCs w:val="14"/>
          <w:color w:val="auto"/>
        </w:rPr>
        <w:t>Ongoing adverse event reporting and submission of periodic reports are required following FDA approval of an NDA. The FDA also may require post-marketing testing, known as Phase 4 testing, REMS, and surveillance to monitor the effects of an approved product, or the FDA may place conditions on an approval that could restrict the distribution or use of the product. In addition, quality control, drug manufacture, packaging, and labeling procedures must continue to conform to cGMPs and NDA specifications after approval. Drug manufacturers and certain of their subcontractors are required to register their establishments with FDA and obtain licenses from certain state agencies. Registration with the FDA subjects entities to periodic unannounced inspections by FDA, during which the Agency inspects manufacturing facilities to assess compliance with cGMPs or other applicable laws, such as adverse event recordkeeping and reporting. Accordingly, manufacturers must continue to expend time, money, and training and compliance efforts in the areas of production and quality control to maintain compliance with cGMPs or other applicable laws, such as adverse event recordkeeping and reporting requirements. Regulatory authorities may require remediation, withdraw product approvals or request product recalls if a company fails to comply with regulatory standards, if it encounters problems following initial marketing, or if previously unrecognized problems or new concerns are subsequently discovered. In addition, other regulatory action, including, among other things, warning letters, the seizure of products, injunctions, consent decrees placing significant restrictions on or suspending manufacturing operations, civil penalties, and criminal prosecution may be pursued.</w:t>
      </w:r>
    </w:p>
    <w:p>
      <w:pPr>
        <w:spacing w:after="0" w:line="6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In addition, any distribution of prescription drug products must comply with the PDMA, a part of the FDCA. In addition, Title II of the Federal Drug Quality and Security Act of 2013, known as the DSCSA has imposed new “track and trace” requirements on the distribution of prescription drug products by manufacturers, distributors, and other entities in the drug supply chain. These requirements are being phased in over a ten-year period. The DSCSA ultimately will require product identifiers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serialization) on prescription drug products in order to establish an electronic interoperable prescription product system to identify and trace certain prescription drugs distributed in the United States. The DSCSA replaced the prior drug “pedigree” requirements under the PDMA and preempts existing state drug pedigree laws and regulations. The DSCSA also establishes new requirements for the licensing of wholesale distributors and third-party logistic providers. These licensing requirements preempt states from imposing licensing requirements that are inconsistent with, less stringent than, directly related to, or otherwise encompassed by standards established by the FDA pursuant to the DSCSA. Until the FDA promulgates regulations to address the DSCSA’s new national licensing standard, current state licensing requirements typically remain in effect.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Hatch-Waxman Amendments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ANDA Approval Process</w:t>
      </w:r>
    </w:p>
    <w:p>
      <w:pPr>
        <w:spacing w:after="0" w:line="96"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The Hatch-Waxman Amendments established abbreviated FDA approval procedures for drugs that are shown to be equivalent to drugs previously approved by the FDA through its NDA process. Approval to market and distribute these drugs is obtained by submitting an ANDA to the FDA. An ANDA is a comprehensive submission that contains, among other things, data and information pertaining to the active pharmaceutical ingredient, drug product formulation, specifications and stability of the generic drug, as well as analytical methods, manufacturing process validation data and quality control procedures. Premarket applications for generic drugs are termed abbreviated because they generally do not include preclinical and clinical data to demonstrate safety and effectiveness. Instead, a generic applicant must demonstrate that its product is bioequivalent to the innovator drug. In certain situations, an applicant may obtain ANDA approval of a generic product with a strength or dosage form that differs from a referenced innovator drug pursuant to the filing and approval of an ANDA Suitability Petition. The FDA will approve the generic product as suitable for an ANDA application if it finds that the generic product does not raise new questions of safety and effectiveness as compared to the innovator product. A product is not eligible for ANDA approval if the FDA determines that it is not equivalent to the referenced innovator drug, if it is intended for a different use, or if it is not subject to an approved Suitability Petition. However, such a product might be approved under an NDA, with supportive data from clinical trials.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color w:val="auto"/>
        </w:rPr>
        <w:t>505(b)(2) NDAs</w:t>
      </w:r>
    </w:p>
    <w:p>
      <w:pPr>
        <w:spacing w:after="0" w:line="9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As an alternative path to FDA approval for modifications to formulations or uses of products previously approved by the FDA, an applicant may submit an NDA under Section 505(b)(2) of the FDCA. Section 505(b)(2) was enacted as part of the Hatch-Waxman Amendments and permits the filing of an NDA where at least some of the information required for approval comes from studies not conducted by, or for, the applicant. If the 505(b)(2) applicant can establish that reliance on FDA’s previous findings of safety and effectiveness is scientifically appropriate, it may eliminate the need to conduct certain preclinical or clinical studies of the new product. The FDA may also require companies to perform additional studies or measurements, including clinical trials, to support the change from the approved branded reference drug. The FDA may then approve the new product candidate for all, or some, of the label indications for which the branded reference drug has been approved, as well as for any new indication sought by the 505(b)(2) applicant.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Orange Book Listing</w:t>
      </w:r>
    </w:p>
    <w:p>
      <w:pPr>
        <w:spacing w:after="0" w:line="9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In seeking approval for a drug through an NDA, including a 505(b)(2) NDA, applicants are required to list with the FDA certain patents with claims that cover the applicant’s product. Upon approval of an NDA, each of the patents listed in the application for the drug is then published in the Orange Book. Any applicant who files an ANDA seeking approval of a generic equivalent version of a drug listed in the Orange Book or a 505(b)(2) NDA referencing a drug listed in the Orange Book must certify to the FDA that (i) no patent information on the drug product that is the subject of the application has been submitted to the FDA; (ii) such patent has expired; (iii) the date on which such patent expires; or (iv) such patent is invalid or will not be infringed upon by the manufacture, use or sale of the drug product for which the application is submitted. This last certification is known as a paragraph IV certification. A notice of the paragraph IV certification must be provided to each owner of the patent that is the subject of the certification and to the holder of the approved NDA to which the ANDA or 505(b)(2) application refers. The applicant may also elect to submit a “section viii” statement certifying that its proposed label does not contain (or carves out) any language regarding the patented method-of-use rather than certify to a listed method-of-use patent.</w:t>
      </w:r>
    </w:p>
    <w:p>
      <w:pPr>
        <w:spacing w:after="0" w:line="232"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If the reference drug NDA holder and patent owners assert a patent challenge directed to one of the Orange Book listed patents within 45 days of the receipt of the paragraph IV certification notice, the FDA is prohibited from approving the application until the earlier of 30 months from the receipt of the paragraph IV certification, expiration of the patent, settlement of the lawsuit or a decision in the infringement case that is favorable to the applicant. The ANDA or 505(b)(2) application also will not be approved until any applicable non-patent exclusivity listed in the Orange Book for the branded reference drug has expired as described in further detail below.</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Non-Patent Exclusivity</w:t>
      </w:r>
    </w:p>
    <w:p>
      <w:pPr>
        <w:spacing w:after="0" w:line="9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In addition to patent exclusivity, the holder of the NDA for the listed drug may be entitled to a period of non-patent related exclusivity, during which the FDA cannot review, or in some cases, approve an ANDA or 505(b)(2) application that relies on the listed drug. For example, a company may obtain five years of non-patent exclusivity upon NDA approval of a new chemical entity, or NCE, which is a drug that contains an active moiety that has not been approved by the FDA in any other NDA. An “active moiety” is defined as the molecule or ion responsible for the drug substance’s physiological or pharmacologic action. During the five-year exclusivity period, the FDA cannot accept for filing any ANDA seeking approval of a generic version of that drug or any 505(b)(2) NDA for the same active moiety and that relies on the FDA’s findings regarding that drug, except that FDA may accept an application for filing after four years if the follow-on applicant makes a paragraph IV certification.</w:t>
      </w:r>
    </w:p>
    <w:p>
      <w:pPr>
        <w:spacing w:after="0" w:line="6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A drug, including one approved under Section 505(b)(2), may obtain a three-year period of exclusivity for a particular condition of approval, or change to a marketed product, such as a new formulation of a previously approved product, if one or more new clinical studies (other than bioavailability or bioequivalence studies) was essential to the approval of the application and was conducted/sponsored by the applicant. Should this occur, the FDA would be precluded from approving any ANDA or 505(b)(2) application for the protected modification until after that three-year exclusivity period has run. However, unlike NCE exclusivity, the FDA can accept an application and begin the review process during the exclusivity period.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Orphan Drug Designation and Exclusivity</w:t>
      </w:r>
    </w:p>
    <w:p>
      <w:pPr>
        <w:spacing w:after="0" w:line="9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The Orphan Drug Act provides incentives for the development of products intended to treat rare diseases or conditions. 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If a sponsor demonstrates that a drug is intended to treat rare diseases or conditions, the FDA will grant orphan designation for that product for the orphan disease indication. Orphan designation must be requested before submitting an NDA. After the FDA grants orphan product designation, the identity of the therapeutic agent and its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color w:val="auto"/>
        </w:rPr>
        <w:t>potential orphan use are disclosed publicly by the FDA. Orphan drug designation, however, does not convey any advantage in, or shorten the duration of, the regulatory review and approval process.</w:t>
      </w:r>
    </w:p>
    <w:p>
      <w:pPr>
        <w:spacing w:after="0" w:line="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4"/>
          <w:szCs w:val="14"/>
          <w:color w:val="auto"/>
        </w:rPr>
        <w:t>Orphan drug designation provides manufacturers with research grants, tax credits and eligibility for orphan drug exclusivity. If a product that has orphan drug designation subsequently receives the first FDA approval of the active moiety for that disease or condition for which it has such designation, the product is entitled to orphan drug exclusivity, which for seven years prohibits the FDA from approving another product with the same active ingredient for the same indication, except in limited circumstances. If a drug designated as an orphan product receives marketing approval for an indication broader than the orphan indication for which it received the designation, it will not be entitled to orphan drug exclusivity. Orphan exclusivity will not bar approval of another product under certain circumstances, including if a subsequent product with the same active ingredient for the same indication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indication or disease as long as the products contain different active ingredients. Moreover, competitors may receive approval of different products for the indication for which the orphan product has exclusivity or obtain approval for the same product but for a different indication for which the orphan product has exclusivity. As a result, even if one of our product candidates receives orphan exclusivity, we may still be subject to competition. Orphan exclusivity also could block the approval of one of our products for seven years if a competitor obtains approval of the same drug or if our product candidate is determined to be contained within the competitor’s product for the same indication or disease.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Anti-Kickback and False Claims Laws and Other Regulatory Matters</w:t>
      </w:r>
    </w:p>
    <w:p>
      <w:pPr>
        <w:spacing w:after="0" w:line="9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In the United States, we are subject to complex laws and regulations pertaining to healthcare “fraud and abuse,” including, but not limited to, the Federal Anti-Kickback Statute, the Federal False Claims Act, and other state and federal laws and regulations. The Federal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 Violations of this law are punishable by up to five years in prison, criminal fines, administrative civil money penalties, and exclusion from participation in federal healthcare programs. In addition, many states have adopted laws similar to the Federal Anti-Kickback Statute. Some of these state prohibitions apply to the referral of patients for healthcare services reimbursed by any insurer, not just federal healthcare programs such as Medicare and Medicaid.</w:t>
      </w:r>
    </w:p>
    <w:p>
      <w:pPr>
        <w:spacing w:after="0" w:line="6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The Federal False Claims Act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 Although we would not submit claims directly to payors, manufacturers can be held liable under these laws if they are deemed to “cause” the submission of false or fraudulent claims by, for example, providing inaccurate billing or coding information to customers or promoting a product off-label. In addition, our 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For example, pharmaceutical companies have been found liable under the Federal False Claims Act in connection with their off-label promotion of drugs. Penalties for a False Claims Act violation include three times the actual damages sustained by the government, plus mandatory civil penalties of between $10,000 and $25,000 for each separate false claim, the potential for exclusion from participation in federal healthcare programs, and, although the Federal False Claims Act is a civil statute, conduct that results in a False Claims Act violation may also implicate various federal criminal statutes. In addition, private individuals can bring actions under the Federal False Claims Act and certain states have enacted laws modeled after the Federal False Claims Act.</w:t>
      </w:r>
    </w:p>
    <w:p>
      <w:pPr>
        <w:spacing w:after="0" w:line="6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HIPAA also expanded and created several additional federal crimes, including healthcare fraud and false statements relating to healthcare matters. The healthcare fraud statute prohibits, among other things, knowingly and willfully executing a scheme to defraud any healthcare benefit program, including private third-party payors. The false statements statute prohibits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spacing w:after="0" w:line="5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There are also an increasing number of state laws with requirements for manufacturers and/or marketers of pharmaceutical products. Some states require the reporting of expenses relating to the marketing and promotion of drug products and the reporting of gifts and payments to individual healthcare practitioners in these states. Other states prohibit various marketing-related activities, such as the provision of certain kinds of gifts or meals. Still other states require the reporting of certain pricing information, including information pertaining to and justification of price increases, or prohibit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4"/>
          <w:szCs w:val="14"/>
          <w:color w:val="auto"/>
        </w:rPr>
        <w:t>prescription drug price gouging. In addition, states such as California, Connecticut, Nevada, Massachusetts and the District of Columbia require pharmaceutical companies to implement compliance programs and/or marketing codes. Many of these laws contain ambiguities as to what is required to comply with the laws. In addition, as discussed below, a similar federal requirement requires manufacturers to track and report to the federal government certain payments made to physicians, physician assistants, nurse practitioners, clinical nurse specialists, certified nurse anesthetists, certified nurse-midwives and teaching hospitals made in the previous calendar year. In addition, given the lack of clarity with respect to these laws and their implementation, our reporting actions could be subject to the penalty provisions of the pertinent state, and soon federal, authorities.</w:t>
      </w:r>
    </w:p>
    <w:p>
      <w:pPr>
        <w:spacing w:after="0" w:line="5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Physician Payments Sunshine Act, implemented as the Open Payments Program, and its implementing regulations, requires certain manufacturers of drugs, devices, biologics and medical supplies that are reimbursable under Medicare, Medicaid, or the Children’s Health Insurance Program to report annually to CMS information related to certain payments made in the previous calendar year and other transfers of value to physicians, physician assistants, nurse practitioners, clinical nurse specialists, certified nurse anesthetists, certified nurse-midwives and teaching hospitals, as well as ownership and investment interests held by physicians and their immediate family members.</w:t>
      </w:r>
    </w:p>
    <w:p>
      <w:pPr>
        <w:spacing w:after="0" w:line="5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addition, HIPAA, and its implementing regulations impose certain obligations on entities subject to the law, such as health plans and most healthcare providers, and their business associates who provide certain services involving the use or disclosure of HIPAA protected health information on their behalf, with respect to the privacy and security of such protected health information. Further, most states have enacted laws governing the privacy and security of health information in certain circumstances, many of which differ from each other in significant ways and may not have the same effect, thus complicating compliance efforts in certain circumstances, such as specific disease states.</w:t>
      </w:r>
    </w:p>
    <w:p>
      <w:pPr>
        <w:spacing w:after="0" w:line="56"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Compliance with such laws and regulations requires substantial resources. In addition, because of the breadth of these various fraud and abuse laws, it is possible that some of our business activities in the past could be subject to challenge under one or more of such laws. Such a challenge could have material adverse effects on our business, financial condition and results of operations. In the event governmental authorities conclude that our business practices did not comply with current or future statutes, regulations or case law involving applicable fraud and abuse or other healthcare laws and regulations, they may impose sanctions under these laws, which are potentially significant and may include civil monetary penalties, damages, exclusion of an entity or individual from participation in government health care programs, criminal fines and individual imprisonment, additional reporting requirements if we become subject to a corporate integrity agreement or other settlement to resolve allegations of violations of these laws, as well as the potential curtailment or restructuring of our operations. Further, we may be subject to contractual damages and reputational harm as result of such non-compliance. Even if we are not determined to have violated these laws, government investigations into these issues typically require the expenditure of significant resources and generate negative publicity.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International Regulation</w:t>
      </w:r>
    </w:p>
    <w:p>
      <w:pPr>
        <w:spacing w:after="0" w:line="96"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In addition to regulations in the United States, we are and will be subject to a variety of foreign regulations regarding development, approval, commercial sales and distribution of our products. Whether or not we obtain FDA approval for a product, we must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review periods, and the time may be longer or shorter than that required to obtain FDA approval. The requirements governing, among other things, the conduct of clinical trials, product licensing, pricing and reimbursement vary greatly from country to country. Regulatory approval in one country does not ensure regulatory approval in another, but a failure or delay in obtaining regulatory approval in one country may negatively impact the regulatory process in others. If we fail to comply with applicable foreign regulatory requirements, we may be subject to fines, suspension or withdrawal of regulatory approvals, product recalls, seizure of products, operating restrictions and criminal prosecution. In the European Union, or EU, we may seek marketing authorization under either the centralized authorization procedure or national authorization procedures.</w:t>
      </w:r>
    </w:p>
    <w:p>
      <w:pPr>
        <w:spacing w:after="0" w:line="62"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4"/>
          <w:szCs w:val="14"/>
          <w:i w:val="1"/>
          <w:iCs w:val="1"/>
          <w:color w:val="auto"/>
        </w:rPr>
        <w:t>Centralized procedure</w:t>
      </w:r>
      <w:r>
        <w:rPr>
          <w:rFonts w:ascii="Times New Roman" w:cs="Times New Roman" w:eastAsia="Times New Roman" w:hAnsi="Times New Roman"/>
          <w:sz w:val="14"/>
          <w:szCs w:val="14"/>
          <w:color w:val="auto"/>
        </w:rPr>
        <w:t>. The European Medicines Agency, or EMA, implemented the centralized procedure for the approval of human medicines to facilitate marketing authorizations that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valid throughout the EU. This procedure results in a single marketing authorization issued by the European Commission following a favorable opinion by the EMA that is valid across the EU, as well as Iceland, Liechtenstein and Norway. The centralized procedure is compulsory for human medicines that are: derived from biotechnology processes, such as genetic engineering, contain a new active substance indicated for the treatment of certain diseases, such as HIV/AIDS, cancer, diabetes, neurodegenerative disorders or autoimmune diseases and other immune dysfunctions, and officially designated orphan medicines. For medicines that do not fall within these categories, an applicant has the option of submitting an application for a centralized marketing authorization to the EMA, as long as the medicine concerned is a significant therapeutic, scientific or technical innovation, or if its authorization would be in the interest of public health.</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6" w:name="page27"/>
    <w:bookmarkEnd w:id="26"/>
    <w:p>
      <w:pPr>
        <w:jc w:val="both"/>
        <w:ind w:firstLine="509"/>
        <w:spacing w:after="0" w:line="260" w:lineRule="auto"/>
        <w:rPr>
          <w:sz w:val="20"/>
          <w:szCs w:val="20"/>
          <w:color w:val="auto"/>
        </w:rPr>
      </w:pPr>
      <w:r>
        <w:rPr>
          <w:rFonts w:ascii="Times New Roman" w:cs="Times New Roman" w:eastAsia="Times New Roman" w:hAnsi="Times New Roman"/>
          <w:sz w:val="14"/>
          <w:szCs w:val="14"/>
          <w:i w:val="1"/>
          <w:iCs w:val="1"/>
          <w:color w:val="auto"/>
        </w:rPr>
        <w:t>National authorization procedures</w:t>
      </w:r>
      <w:r>
        <w:rPr>
          <w:rFonts w:ascii="Times New Roman" w:cs="Times New Roman" w:eastAsia="Times New Roman" w:hAnsi="Times New Roman"/>
          <w:sz w:val="14"/>
          <w:szCs w:val="14"/>
          <w:color w:val="auto"/>
        </w:rPr>
        <w:t>. There are also two other possible routes to authorize medicinal products in several EU countries, which are available for investigational medicinal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products that fall outside the scope of the centralized procedure: the decentralized procedure and the mutual recognition procedure. Under the decentralized procedure, an applicant may apply for simultaneous authorization in more than one EU country for medicinal products that have not yet been authorized in any EU country and that do not fall within the mandatory scope of the centralized procedure. Under the mutual recognition procedure, a medicine is first authorized in one EU Member State, in accordance with the national procedures of that country. Following a national authorization, the applicant may seek further marketing authorizations from other EU countries under a procedure whereby the countries concerned agree to recognize the validity of the original, national marketing authorization.</w:t>
      </w:r>
    </w:p>
    <w:p>
      <w:pPr>
        <w:spacing w:after="0" w:line="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In the EU, medicinal products designated as orphan products benefit from financial incentives such as reductions in marketing authorization application fees or fee waivers and 10 years of market exclusivity following medicinal product approval. For a medicinal product to qualify as orphan: (i) it must be intended for the treatment, prevention or diagnosis of a disease that is life-threatening or chronically debilitating; (ii) the prevalence of the condition in the EU must not be more than five in 10,000 or it must be unlikely that marketing of the medicine would generate sufficient returns to justify the investment needed for its development; and (iii) no satisfactory method of diagnosis, prevention or treatment of the condition concerned can be authorized, or, if such a method exists, the medicine must be of significant benefit to those affected by the condition.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United States Healthcare Reform</w:t>
      </w:r>
    </w:p>
    <w:p>
      <w:pPr>
        <w:spacing w:after="0" w:line="20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Among policy makers and payors in the United States and elsewhere, there is significant interest in promoting changes in healthcare systems with the stated goals of containing healthcare costs, improving quality and/or expanding access. In the United States, PPACA substantially changed the way healthcare is financed by both governmental and private insurers and significantly impacted the pharmaceutical industry. Changes that may affect our business include those governing enrollment in federal healthcare programs, reimbursement changes, benefits for patients who have reached the “catastrophic coverage” out-of-pocket limit under the Medicare Part D prescription drug program, rules regarding prescription drug benefits under the health insurance exchanges, changes to the Medicaid Drug Rebate program, expansion of the Public Health Service’s 340B drug pricing discount program, or 340B program, fraud and abuse, and enforcement. These changes impacted existing government healthcare programs and are resulting in the development of new programs, including Medicare payment for performance initiatives and improvements to the physician quality reporting system and feedback program.</w:t>
      </w:r>
    </w:p>
    <w:p>
      <w:pPr>
        <w:spacing w:after="0" w:line="62"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Some states have elected not to expand their Medicaid programs to individuals with an income of up to 133% of the federal poverty level, as is permitted under the PPACA. For each state that does not choose to expand its Medicaid program, there may be fewer insured patients overall, which could impact our sales of products for which we receive regulatory approval, business and financial condition. Where new patients receive insurance coverage under any of the new Medicaid options made available through the PPACA, the possibility exists that manufacturers may be required to pay Medicaid rebates on drugs used under these circumstances, a decision that could impact manufacturer revenues.</w:t>
      </w:r>
    </w:p>
    <w:p>
      <w:pPr>
        <w:spacing w:after="0" w:line="5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Since its enactment, there have been numerous judicial, administrative, executive, and legislative challenges to certain aspects of the PPACA, and we expect there will be additional challenges and amendments to the PPACA in the future. While the United States Supreme Court has generally upheld the constitutionality of the PPACA, cases challenging its legal and constitutional validity continue to be heard by the Supreme Court. Executive Orders have been issued and repealed by successive presidential Administrations, making it uncertain what fiscal burdens might be placed on states, individuals, healthcare providers, health insurers, or manufacturers of pharmaceuticals or medical devices at any given time. In each session of Congress, bills have been introduced that might significantly expand, revise or repeal the PPACA. It is unclear whether the PPACA will be overturned, repealed, replaced, or further amended.</w:t>
      </w:r>
    </w:p>
    <w:p>
      <w:pPr>
        <w:spacing w:after="0" w:line="5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the Inflation Reduction Act of 2022 (“IRA”), signed into law by President Biden, included a number of significant drug pricing reforms, which include the establishment of a drug price negotiation program within the HHS (beginning in 2026) that requires manufacturers to charge a negotiated “maximum fair price” for certain selected drugs or pay an excise tax for noncompliance, the establishment of rebate payment requirements on manufacturers under Medicare Parts B and D to penalize price increases that outpace inflation, and a redesign of the Part D benefit, a part of which requires manufacturers to provide discounts on Part D drugs. Congress has further indicated that they will continue to pursue new legislative and/or administrative measures to control drug costs, including price or patient reimbursement constraints, discounts, restrictions on certain access and marketing cost disclosure and transparency measures, and, in some cases, laws designed to encourage importation from other countries and bulk purchasing.</w:t>
      </w:r>
    </w:p>
    <w:p>
      <w:pPr>
        <w:spacing w:after="0" w:line="23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Each recent presidential administration has enacted and repealed Executive Orders that have impacted prescription drug prices. In his first term, President Trump enacted Executive Orders directing the Secretary of HHS to eliminate protection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7" w:name="page28"/>
    <w:bookmarkEnd w:id="27"/>
    <w:p>
      <w:pPr>
        <w:jc w:val="both"/>
        <w:spacing w:after="0" w:line="259" w:lineRule="auto"/>
        <w:rPr>
          <w:sz w:val="20"/>
          <w:szCs w:val="20"/>
          <w:color w:val="auto"/>
        </w:rPr>
      </w:pPr>
      <w:r>
        <w:rPr>
          <w:rFonts w:ascii="Times New Roman" w:cs="Times New Roman" w:eastAsia="Times New Roman" w:hAnsi="Times New Roman"/>
          <w:sz w:val="14"/>
          <w:szCs w:val="14"/>
          <w:color w:val="auto"/>
        </w:rPr>
        <w:t>under an Anti-Kickback Statute safe harbor for certain retrospective price reductions, ensure that payment by the Medicare program for certain Medicare Part B drugs is not higher than the payment by other comparable countries, allow certain low-income individuals purchase insulin and epinephrine, and implement a rulemaking plan to test a payment model, pursuant to which Medicare would receive most-favored-nation prices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the lowest price) for certain pharmaceutical products. President Biden enacted Executive Orders to, among other things, reduce barriers to the PPACA marketplace, increase the affordability of the marketplace and increase eligibility for and coverage from the marketplace and Medicaid. During President Trump’s second term, he revoked many of President Biden’s Executive Orders, including such Orders impacting Medicaid and the PPACA. It is difficult at this time to predict what future executive or legislative initiatives may impact drug pricing.</w:t>
      </w:r>
    </w:p>
    <w:p>
      <w:pPr>
        <w:spacing w:after="0" w:line="61"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January 2024, the FDA authorized Florida's Agency for Health Care Administration's drug importation program, which is the first step toward Florida facilitating importation of certain prescription drugs from Canada. Authorization of other state programs may follow. We expect that healthcare reform measures that may be adopted in the future could have a material adverse effect on our industry generally and on our ability to maintain or increase sales of products for which we receive regulatory approval or to successfully commercialize our product candidates, if approved.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Coverage and Reimbursement</w:t>
      </w:r>
    </w:p>
    <w:p>
      <w:pPr>
        <w:spacing w:after="0" w:line="94" w:lineRule="exact"/>
        <w:rPr>
          <w:sz w:val="20"/>
          <w:szCs w:val="20"/>
          <w:color w:val="auto"/>
        </w:rPr>
      </w:pPr>
    </w:p>
    <w:p>
      <w:pPr>
        <w:jc w:val="both"/>
        <w:ind w:firstLine="509"/>
        <w:spacing w:after="0" w:line="180" w:lineRule="exact"/>
        <w:rPr>
          <w:sz w:val="20"/>
          <w:szCs w:val="20"/>
          <w:color w:val="auto"/>
        </w:rPr>
      </w:pPr>
      <w:r>
        <w:rPr>
          <w:rFonts w:ascii="Times New Roman" w:cs="Times New Roman" w:eastAsia="Times New Roman" w:hAnsi="Times New Roman"/>
          <w:sz w:val="14"/>
          <w:szCs w:val="14"/>
          <w:color w:val="auto"/>
        </w:rPr>
        <w:t>The commercial success of our products and product candidates, if and when approved, is partially dependent on the availability of coverage and adequate reimbursement from public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federal and state government) and private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commercial) payors. These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payors may deny coverage or reimbursement for a product or therapy, either in whole or in part, if they determine that the product or therapy was not medically appropriate or necessary. Also,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payors will continue to control costs by limiting coverage through the use of formularies and other cost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containment mechanisms, and the amount of reimbursement for particular procedures or drug treatments.</w:t>
      </w:r>
    </w:p>
    <w:p>
      <w:pPr>
        <w:spacing w:after="0" w:line="18" w:lineRule="exact"/>
        <w:rPr>
          <w:sz w:val="20"/>
          <w:szCs w:val="20"/>
          <w:color w:val="auto"/>
        </w:rPr>
      </w:pPr>
    </w:p>
    <w:p>
      <w:pPr>
        <w:jc w:val="both"/>
        <w:ind w:firstLine="509"/>
        <w:spacing w:after="0" w:line="192" w:lineRule="exact"/>
        <w:rPr>
          <w:sz w:val="20"/>
          <w:szCs w:val="20"/>
          <w:color w:val="auto"/>
        </w:rPr>
      </w:pPr>
      <w:r>
        <w:rPr>
          <w:rFonts w:ascii="Times New Roman" w:cs="Times New Roman" w:eastAsia="Times New Roman" w:hAnsi="Times New Roman"/>
          <w:sz w:val="14"/>
          <w:szCs w:val="14"/>
          <w:color w:val="auto"/>
        </w:rPr>
        <w:t>As discussed above, the cost of pharmaceuticals continues to generate substantial governmental and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payor interest. We expect that the pharmaceutical industry will continue to experience pricing pressures, given the trend toward managed healthcare, the increasing influence of managed care organizations, and additional regulatory and legislative proposals. Our results of operations and business could be adversely affected by current and future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payor policies, as well as healthcare legislative reforms.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Additionally, discounted pricing or rebates on purchases of pharmaceutical products must be offered under various federal and state healthcare programs, including: the Centers for Medicare</w:t>
      </w:r>
    </w:p>
    <w:p>
      <w:pPr>
        <w:spacing w:after="0" w:line="23" w:lineRule="exact"/>
        <w:rPr>
          <w:sz w:val="20"/>
          <w:szCs w:val="20"/>
          <w:color w:val="auto"/>
        </w:rPr>
      </w:pPr>
    </w:p>
    <w:p>
      <w:pPr>
        <w:jc w:val="both"/>
        <w:ind w:firstLine="5"/>
        <w:spacing w:after="0" w:line="259" w:lineRule="auto"/>
        <w:tabs>
          <w:tab w:leader="none" w:pos="155"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Medicaid Services’ Medicaid Drug Rebate Program, Medicare Part B Program and Medicare Part D Manufacturer Discount Programs, the U.S. Department of Veterans Affairs’ Federal Supply Schedule Program, and the Health Resources and Services Administration’s 340B Drug Pricing Program. Specific prices must be reported to government agencies under healthcare programs, such as the Medicaid Drug Rebate Program. The calculations necessary to determine the prices reported are complex and the failure to report prices accurately may expose us to penalties.</w:t>
      </w:r>
    </w:p>
    <w:p>
      <w:pPr>
        <w:spacing w:after="0" w:line="27" w:lineRule="exact"/>
        <w:rPr>
          <w:sz w:val="20"/>
          <w:szCs w:val="20"/>
          <w:color w:val="auto"/>
        </w:rPr>
      </w:pPr>
    </w:p>
    <w:p>
      <w:pPr>
        <w:jc w:val="both"/>
        <w:ind w:firstLine="509"/>
        <w:spacing w:after="0" w:line="192" w:lineRule="exact"/>
        <w:rPr>
          <w:sz w:val="20"/>
          <w:szCs w:val="20"/>
          <w:color w:val="auto"/>
        </w:rPr>
      </w:pPr>
      <w:r>
        <w:rPr>
          <w:rFonts w:ascii="Times New Roman" w:cs="Times New Roman" w:eastAsia="Times New Roman" w:hAnsi="Times New Roman"/>
          <w:sz w:val="14"/>
          <w:szCs w:val="14"/>
          <w:color w:val="auto"/>
        </w:rPr>
        <w:t>Some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payors may have cost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containment measures to be adopted or implemented in the future, including any changes to any Medicare reimbursement program, these requirements or any announcement or adoption of such proposals could have a material adverse effect on our ability to obtain adequate prices for our product candidates and to operate profitably.</w:t>
      </w:r>
    </w:p>
    <w:p>
      <w:pPr>
        <w:spacing w:after="0" w:line="72" w:lineRule="exact"/>
        <w:rPr>
          <w:sz w:val="20"/>
          <w:szCs w:val="20"/>
          <w:color w:val="auto"/>
        </w:rPr>
      </w:pPr>
    </w:p>
    <w:p>
      <w:pPr>
        <w:jc w:val="both"/>
        <w:ind w:firstLine="509"/>
        <w:spacing w:after="0" w:line="174" w:lineRule="exact"/>
        <w:rPr>
          <w:sz w:val="20"/>
          <w:szCs w:val="20"/>
          <w:color w:val="auto"/>
        </w:rPr>
      </w:pPr>
      <w:r>
        <w:rPr>
          <w:rFonts w:ascii="Times New Roman" w:cs="Times New Roman" w:eastAsia="Times New Roman" w:hAnsi="Times New Roman"/>
          <w:sz w:val="14"/>
          <w:szCs w:val="14"/>
          <w:color w:val="auto"/>
        </w:rPr>
        <w:t>In international markets, reimbursement and healthcare payment systems vary significantly by country, and many countries have instituted price ceilings on specific products and therapies. There can be no assurance that our products and product candidates will be considered medically reasonable and necessary for a specific indication, that our products and product candidates will be considered cost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effective by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payors, that an adequate level of reimbursement will be available, or that the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payors’ reimbursement policies will not adversely affect our ability to sell our products and product candidates, if approved, profitably.</w:t>
      </w:r>
    </w:p>
    <w:p>
      <w:pPr>
        <w:spacing w:after="0" w:line="7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Additional information regarding these programs is discussed under the heading “If we are unable to achieve and maintain adequate levels of coverage and reimbursement for our products or product candidates, if approved, their commercial success may be severely hindered” in the “Risk Factors” section of this Annual Report on Form 10-K.</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Regulation</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are also subject to various laws and regulations regarding laboratory practices, the experimental use of animals, and the use and disposal of hazardous or potentially hazardous substances in connection with our research. While we believe we are in compliance with applicable environmental and other regulations, in each of these areas, as above, the FDA and other government agencies have broad regulatory and enforcement powers, including, among other things, the ability to levy fines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8" w:name="page29"/>
    <w:bookmarkEnd w:id="28"/>
    <w:p>
      <w:pPr>
        <w:ind w:right="1200"/>
        <w:spacing w:after="0" w:line="379" w:lineRule="auto"/>
        <w:rPr>
          <w:sz w:val="20"/>
          <w:szCs w:val="20"/>
          <w:color w:val="auto"/>
        </w:rPr>
      </w:pPr>
      <w:r>
        <w:rPr>
          <w:rFonts w:ascii="Times New Roman" w:cs="Times New Roman" w:eastAsia="Times New Roman" w:hAnsi="Times New Roman"/>
          <w:sz w:val="14"/>
          <w:szCs w:val="14"/>
          <w:color w:val="auto"/>
        </w:rPr>
        <w:t xml:space="preserve">and civil penalties, suspend or delay issuance of approvals, seize or recall products, and withdraw approvals, any one or more of which could have a material adverse effect on us. </w:t>
      </w:r>
      <w:r>
        <w:rPr>
          <w:rFonts w:ascii="Times New Roman" w:cs="Times New Roman" w:eastAsia="Times New Roman" w:hAnsi="Times New Roman"/>
          <w:sz w:val="14"/>
          <w:szCs w:val="14"/>
          <w:b w:val="1"/>
          <w:bCs w:val="1"/>
          <w:color w:val="auto"/>
        </w:rPr>
        <w:t>Human Capital</w:t>
      </w:r>
    </w:p>
    <w:p>
      <w:pPr>
        <w:spacing w:after="0" w:line="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As of December 31, 2025, we employed approximately 147 colleagues. All of our colleagues were employed in the U.S. Of these colleagues, 22 are directly involved in R&amp;D, 90 are involved in manufacturing operations, and 35 are involved in business development and general and administrative activities. Our colleagues are not represented by a labor union.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Culture and Colleagues Engagement</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believe that our colleagues are an essential element of our strategy and critical to our continued success. Our corporate values – safety, compliance, collaboration, integrity and high performance are built on the foundation that the colleagues we hire, the steps we use to engage them and the way we treat one another promote the creativity, innovation and productivity that spurs Aquestive's success.</w:t>
      </w:r>
    </w:p>
    <w:p>
      <w:pPr>
        <w:spacing w:after="0" w:line="5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Supporting that philosophy, our management team is responsible for ensuring that our policies and procedures reflect and reinforce our desired corporate culture including policies and procedures related to risk management, ethics and compliance.</w:t>
      </w:r>
    </w:p>
    <w:p>
      <w:pPr>
        <w:spacing w:after="0" w:line="3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engage advisors to ensure that we design, plan and execute competitive compensation strategies and benefit programs to help us attract and retain a diverse workforce with the appropriate skills and talent that drive the organization’s success. We also engage our colleagues in important dialogue regarding organizational performance and reward our colleagues accordingly to create a successful and attractive workplace. We are committed to creating a culture of inclusion in which all colleagues have the opportunity to be heard, make an impact and thrive.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Colleagues’ Health, Wellness and Safety</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well-being of our colleagues is a top priority, and we are committed to creating a safe and healthy workplace. We provide ongoing training in support of that commitment.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Safety</w:t>
      </w:r>
    </w:p>
    <w:p>
      <w:pPr>
        <w:spacing w:after="0" w:line="9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have few environmental risks but are committed to be part of the global solution. We run environmentally responsible laboratory waste collection, recycling and disposal programs. We educate and encourage our colleagues to be environmentally responsible. As of December 31, 2025, we were in compliance with government and environmental regulations.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9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We file with or submit to the SEC our annual, quarterly, periodic and current reports, proxy statements and other information meeting the informational requirements of the Exchange Act. We make available, free of charge, on our website our proxy statement, annual report on Form 10-K, quarterly reports on Form 10-Q, current reports on Form 8-K and amendments to those reports and other publicly filed information available as soon as reasonable practicable after we electronically file such material with, or furnish it to the SEC. Our Internet address where these documents and other information can be found is https//aquestive.com. Information contained on our website is not incorporated by reference into this Annual Report, and you should not consider that information to be part of this Annual Report. Our annual, quarterly, periodic and current reports, proxy statements and other public filings are also available free of charge on the EDGAR Database on the SEC’s Internet website at www.sec.gov.</w:t>
      </w:r>
    </w:p>
    <w:p>
      <w:pPr>
        <w:spacing w:after="0" w:line="5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1A.</w:t>
        <w:tab/>
        <w:t>Risk Factors</w:t>
      </w:r>
    </w:p>
    <w:p>
      <w:pPr>
        <w:spacing w:after="0" w:line="5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Investing in our common stock involves significant risk and investors should carefully consider the risks described below, together with all other information included or referenced in this Annual Report on Form 10-K. There are numerous and varied risks, known and unknown, that may prevent us from achieving our goals. The risks described below are not the only ones we will face. In addition to the other information in this Annual Report on Form 10-K, any of the factors set forth below could significantly and negatively affect our business, financial condition, results of operations or prospects and the trading price of our stock. This section contains forward-looking statements. You should refer to the explanation of the qualifications and limitations on forward-looking statements at the beginning of this Annual Report on Form 10-K.</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Material risks that may affect our business, operating results and financial condition include, but are not necessarily limited to, those relating to:</w:t>
      </w:r>
    </w:p>
    <w:p>
      <w:pPr>
        <w:spacing w:after="0" w:line="51" w:lineRule="exact"/>
        <w:rPr>
          <w:sz w:val="20"/>
          <w:szCs w:val="20"/>
          <w:color w:val="auto"/>
        </w:rPr>
      </w:pPr>
    </w:p>
    <w:p>
      <w:pPr>
        <w:ind w:left="760" w:hanging="246"/>
        <w:spacing w:after="0" w:line="287" w:lineRule="auto"/>
        <w:tabs>
          <w:tab w:leader="none" w:pos="756" w:val="left"/>
        </w:tabs>
        <w:numPr>
          <w:ilvl w:val="0"/>
          <w:numId w:val="1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our ability to address the FDA's comments on and identified deficiencies in our NDA, including the concerns raised by the FDA in the Complete Response Letter dated January 30, 2026 issued to the Company for approval of Anaphylm;</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9" w:name="page30"/>
    <w:bookmarkEnd w:id="29"/>
    <w:p>
      <w:pPr>
        <w:ind w:left="760" w:hanging="246"/>
        <w:spacing w:after="0" w:line="283" w:lineRule="auto"/>
        <w:tabs>
          <w:tab w:leader="none" w:pos="7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generate sufficient clinical and other human factor data, including with respect to our submission of pharmacokinetic and pharmacodynamic (PK/PD) comparability data for FDA approval of Anaphylm;</w:t>
      </w:r>
    </w:p>
    <w:p>
      <w:pPr>
        <w:spacing w:after="0" w:line="2" w:lineRule="exact"/>
        <w:rPr>
          <w:rFonts w:ascii="Times New Roman" w:cs="Times New Roman" w:eastAsia="Times New Roman" w:hAnsi="Times New Roman"/>
          <w:sz w:val="14"/>
          <w:szCs w:val="14"/>
          <w:color w:val="auto"/>
        </w:rPr>
      </w:pPr>
    </w:p>
    <w:p>
      <w:pPr>
        <w:jc w:val="both"/>
        <w:ind w:left="760" w:hanging="246"/>
        <w:spacing w:after="0" w:line="270" w:lineRule="auto"/>
        <w:tabs>
          <w:tab w:leader="none" w:pos="756" w:val="left"/>
        </w:tabs>
        <w:numPr>
          <w:ilvl w:val="0"/>
          <w:numId w:val="1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we need to raise substantial funds in the future to fund our operation, including to commercialize Anaphylm, if approved and begin making quarterly principal amortization payments on our 13.5% Notes starting in June 2026, unless we are able to refinance or amend the terms. A failure to obtain this necessary capital when and how needed could force us to delay, limit, scale back or cease some or all operations.</w:t>
      </w:r>
    </w:p>
    <w:p>
      <w:pPr>
        <w:spacing w:after="0" w:line="8" w:lineRule="exact"/>
        <w:rPr>
          <w:rFonts w:ascii="Times New Roman" w:cs="Times New Roman" w:eastAsia="Times New Roman" w:hAnsi="Times New Roman"/>
          <w:sz w:val="14"/>
          <w:szCs w:val="14"/>
          <w:b w:val="1"/>
          <w:bCs w:val="1"/>
          <w:i w:val="1"/>
          <w:iCs w:val="1"/>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incurred significant operating losses since inception and cannot assure you that we will ever achieve or sustain profitability;</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fail to obtain regulatory approvals to market our products in the United States or in other countries;</w:t>
      </w:r>
    </w:p>
    <w:p>
      <w:pPr>
        <w:spacing w:after="0" w:line="51" w:lineRule="exact"/>
        <w:rPr>
          <w:rFonts w:ascii="Times New Roman" w:cs="Times New Roman" w:eastAsia="Times New Roman" w:hAnsi="Times New Roman"/>
          <w:sz w:val="14"/>
          <w:szCs w:val="14"/>
          <w:color w:val="auto"/>
        </w:rPr>
      </w:pPr>
    </w:p>
    <w:p>
      <w:pPr>
        <w:ind w:left="760" w:hanging="246"/>
        <w:spacing w:after="0" w:line="284" w:lineRule="auto"/>
        <w:tabs>
          <w:tab w:leader="none" w:pos="7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of pharmaceutical products involves a lengthy and expensive process, with an uncertain outcome. We may incur additional costs or experience delays in completing, or ultimately be unable to complete, the development and commercialization of any product;</w:t>
      </w:r>
    </w:p>
    <w:p>
      <w:pPr>
        <w:ind w:left="760" w:hanging="246"/>
        <w:spacing w:after="0" w:line="284" w:lineRule="auto"/>
        <w:tabs>
          <w:tab w:leader="none" w:pos="7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competitors are better able to develop products for the diagnosis and treatment of diseases of the central nervous system and the treatment for anaphylaxis that are safer, more effective, less costly, easier to use or otherwise more attractive than our PharmFilm technology, our business will be adversely impacted;</w:t>
      </w:r>
    </w:p>
    <w:p>
      <w:pPr>
        <w:ind w:left="760" w:hanging="246"/>
        <w:spacing w:after="0" w:line="284" w:lineRule="auto"/>
        <w:tabs>
          <w:tab w:leader="none" w:pos="7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 if our product candidates are approved for commercial sale, if we are unable to develop a sales and marketing infrastructure, we may not be successful in commercializing our products in the United States;</w:t>
      </w:r>
    </w:p>
    <w:p>
      <w:pPr>
        <w:ind w:left="760" w:hanging="246"/>
        <w:spacing w:after="0" w:line="284" w:lineRule="auto"/>
        <w:tabs>
          <w:tab w:leader="none" w:pos="7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commercialize our product candidates will depend in part on the extent to which reimbursement will be available from government and health administration authorities, private health maintenance organizations and health insurers, and other healthcare payors;</w:t>
      </w: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delays or changes to the timing, cost and success of clinical trials for Anaphylm and our other product candidates;</w:t>
      </w:r>
    </w:p>
    <w:p>
      <w:pPr>
        <w:spacing w:after="0" w:line="51" w:lineRule="exact"/>
        <w:rPr>
          <w:rFonts w:ascii="Times New Roman" w:cs="Times New Roman" w:eastAsia="Times New Roman" w:hAnsi="Times New Roman"/>
          <w:sz w:val="14"/>
          <w:szCs w:val="14"/>
          <w:color w:val="auto"/>
        </w:rPr>
      </w:pPr>
    </w:p>
    <w:p>
      <w:pPr>
        <w:ind w:left="760" w:hanging="246"/>
        <w:spacing w:after="0" w:line="284" w:lineRule="auto"/>
        <w:tabs>
          <w:tab w:leader="none" w:pos="7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entered into, and may enter into collaborations, licensing arrangements, joint ventures, strategic alliances or partnerships with third-parties that may not result in the development of commercially viable products or the generation of significant future revenues;</w:t>
      </w:r>
    </w:p>
    <w:p>
      <w:pPr>
        <w:jc w:val="both"/>
        <w:ind w:left="760" w:hanging="246"/>
        <w:spacing w:after="0" w:line="264" w:lineRule="auto"/>
        <w:tabs>
          <w:tab w:leader="none" w:pos="7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and will be dependent on third-party CROs to conduct all of our clinical trials. If these third parties do not successfully carry out their contractual duties or regulatory obligations or meet expected deadlines, if the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any of our product candidates;</w:t>
      </w:r>
    </w:p>
    <w:p>
      <w:pPr>
        <w:spacing w:after="0" w:line="1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success depends on our ability to retain key executives and to attract, retain and motivate qualified personnel;</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protect our intellectual property and proprietary technology is uncertain;</w:t>
      </w:r>
    </w:p>
    <w:p>
      <w:pPr>
        <w:spacing w:after="0" w:line="51" w:lineRule="exact"/>
        <w:rPr>
          <w:rFonts w:ascii="Times New Roman" w:cs="Times New Roman" w:eastAsia="Times New Roman" w:hAnsi="Times New Roman"/>
          <w:sz w:val="14"/>
          <w:szCs w:val="14"/>
          <w:color w:val="auto"/>
        </w:rPr>
      </w:pPr>
    </w:p>
    <w:p>
      <w:pPr>
        <w:ind w:left="760" w:hanging="246"/>
        <w:spacing w:after="0" w:line="284" w:lineRule="auto"/>
        <w:tabs>
          <w:tab w:leader="none" w:pos="7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subject to damages resulting from claims that we, or our colleagues, have wrongfully used or disclosed alleged trade secrets of our competitors or are in breach of non-competition or non-solicitation agreements with our competitors;</w:t>
      </w: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products and operations are subject to extensive governmental regulation, and failure to comply with applicable requirements could cause our business to suffer;</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issue more shares of our Common Stock to raise capital, our current stockholders will incur substantial dilution;</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subject to damages resulting from litigation matters currently pending or that may arise in the future against Aquestive;</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continues to affect businesses and could cause business interruption; and</w:t>
      </w:r>
    </w:p>
    <w:p>
      <w:pPr>
        <w:spacing w:after="0" w:line="51" w:lineRule="exact"/>
        <w:rPr>
          <w:rFonts w:ascii="Times New Roman" w:cs="Times New Roman" w:eastAsia="Times New Roman" w:hAnsi="Times New Roman"/>
          <w:sz w:val="14"/>
          <w:szCs w:val="14"/>
          <w:color w:val="auto"/>
        </w:rPr>
      </w:pPr>
    </w:p>
    <w:p>
      <w:pPr>
        <w:ind w:left="760" w:hanging="246"/>
        <w:spacing w:after="0" w:line="287" w:lineRule="auto"/>
        <w:tabs>
          <w:tab w:leader="none" w:pos="7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developments affecting the financial services industry which could adversely affect our current and projected business operations and our financial condition and results of operations.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Development and Commercialization of Our Products and Product Candidates</w:t>
      </w:r>
    </w:p>
    <w:p>
      <w:pPr>
        <w:spacing w:after="0" w:line="51" w:lineRule="exact"/>
        <w:rPr>
          <w:sz w:val="20"/>
          <w:szCs w:val="20"/>
          <w:color w:val="auto"/>
        </w:rPr>
      </w:pPr>
    </w:p>
    <w:p>
      <w:pPr>
        <w:ind w:firstLine="255"/>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cannot be certain that we will be able to successfully develop our product candidates or obtain regulatory approval for our product candidates, including following the CRL we received for Anaphylm.</w:t>
      </w:r>
    </w:p>
    <w:p>
      <w:pPr>
        <w:ind w:firstLine="509"/>
        <w:spacing w:after="0" w:line="287" w:lineRule="auto"/>
        <w:rPr>
          <w:sz w:val="20"/>
          <w:szCs w:val="20"/>
          <w:color w:val="auto"/>
        </w:rPr>
      </w:pPr>
      <w:r>
        <w:rPr>
          <w:rFonts w:ascii="Times New Roman" w:cs="Times New Roman" w:eastAsia="Times New Roman" w:hAnsi="Times New Roman"/>
          <w:sz w:val="14"/>
          <w:szCs w:val="14"/>
          <w:color w:val="auto"/>
        </w:rPr>
        <w:t>Prior to receiving approval to commercialize any of our drug products, we must demonstrate with substantial evidence from well-controlled clinical trials, and to the satisfaction of the FDA and/or other regulatory authorities in the U.S. and other countries, that our particular product candidates are both safe and effective. For each drug product, we must demonstrate its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color w:val="auto"/>
        </w:rPr>
        <w:t>efficacy and monitor its safety throughout the process. If development within these parameters is unsuccessful, our business could be harmed, and our stock price could be adversely affected.</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4"/>
          <w:szCs w:val="14"/>
          <w:color w:val="auto"/>
        </w:rPr>
        <w:t>We currently have product candidates in preclinical and clinical development. Our business depends primarily on the successful clinical development, regulatory approval and commercialization of our product candidates. Before our product candidates can be marketed, the FDA and other comparable foreign regulatory agencies must approve our applicable NDA or comparable regulatory submissions. Clinical testing is expensive, difficult to design and implement, can take many years to complete and is very uncertain as to outcome. A failure of one or more clinical trials can occur at any stage of testing. Further, positive results from earlier stage clinical trials may not be predictive of later clinical trials or other regulatory developments. In addition, many companies in the pharmaceutical and biotechnology industries have suffered significant setbacks in later stage clinical trials after achieving positive results in early stage development, and we cannot be certain that we will not face similar setbacks. Also, preclinical and clinical data are often susceptible to varying interpretations and analyses, and many companies that believed their product candidates performed satisfactorily in preclinical studies and clinical trials nonetheless failed to obtain FDA approval. Even after successful completion of clinical testing, there is a risk that the FDA may request further information from us, disagree with our findings or otherwise undertake a lengthy review of our submission. We may be asked to provide further justification and evidence to support the application for approval at an FDA Advisory Committee meeting, which requires significant time and resources to prepare. FDA staff, and the public, may also present their own analyses of the clinical trial data, and discuss other issues at an Advisory Committee meeting. FDA Advisory Committees are typically asked to comment on whether they believe there is adequate safety and effectiveness data to support approval. Advisory Committees may also recommend that FDA request additional studies before approval or suggest changes to a product’s proposed labeling. Advisory Committees make nonbinding recommendations to FDA. FDA generally follows the recommendations, but is not legally bound to do so. We also face hurdles and setbacks by reason of competitors’ drug candidates obtaining FDA or other regulatory approvals, including orphan drug market exclusivity, prior to our obtaining FDA or other regulatory approval of our similar drug candidate. Even if the FDA approves our NDA, we may be unable to successfully commercialize our products and product candidates.</w:t>
      </w:r>
    </w:p>
    <w:p>
      <w:pPr>
        <w:spacing w:after="0" w:line="2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4"/>
          <w:szCs w:val="14"/>
          <w:color w:val="auto"/>
        </w:rPr>
        <w:t>In some instances, there can be significant variability in safety or efficacy results between different clinical trials of the same product candidate due to the numerous factors, including changes in clinical trial procedures set forth in protocols, differences in the size and type of the patient populations, adherence to the dosing regimen, and other clinical trial protocols, and the rate of dropout among clinical participants. If we fail to produce positive results in our planned preclinical studies or clinical trials of any of our product candidates, the development timeline and regulatory approval and commercialization prospects for our product candidates and, correspondingly, our business and financial prospects, would be materially adversely affected. In addition, our product candidates rely on proper administration by patients or caregivers, and difficulties with product design, packaging, or user interface could interfere with regulatory approval or limit commercial success.</w:t>
      </w:r>
    </w:p>
    <w:p>
      <w:pPr>
        <w:spacing w:after="0" w:line="189"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It is also possible that the FDA will not approve an application that we may submit, or our product candidates may not obtain appropriate regulatory approvals necessary for us to commence clinical trials for our product candidates. Any delay or failure in obtaining required approvals could have a material adverse effect on our business. For example, we recently received a CRL which resulted in a delay in the planned launch of Anaphylm. We are working to address the issues raised in the CRL and although we believe that the issues can be addressed, additional human factors and a clinical trial will need to be completed and data submitted for FDA review. There is no assurance that we will be able to satisfy the FDA's concerns. This process from development to commercialization can take many years and will likely require the expenditure of substantial resources beyond the proceeds we currently have on hand, without any guarantee or assurance that we will be successful with regulatory approval, or commercial success, of such product candidate.</w:t>
      </w:r>
    </w:p>
    <w:p>
      <w:pPr>
        <w:spacing w:after="0" w:line="19"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Even if we obtain approval from the FDA and comparable foreign regulatory authorities for our current and future product candidates, any approval might contain significant limitations related to use restrictions for specified age groups, warnings, precautions or contraindications, or may be subject to burdensome post-approval study or risk management requirements. If we are unable to obtain regulatory approval, or any approval contains significant limitations, we may not be able to obtain sufficient funding or generate sufficient revenue to continue the development of that product candidate or any other product candidate that we may in-license, develop or acquire in the future.</w:t>
      </w:r>
    </w:p>
    <w:p>
      <w:pPr>
        <w:spacing w:after="0" w:line="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w:t>
      </w:r>
      <w:r>
        <w:rPr>
          <w:rFonts w:ascii="Times New Roman" w:cs="Times New Roman" w:eastAsia="Times New Roman" w:hAnsi="Times New Roman"/>
          <w:sz w:val="14"/>
          <w:szCs w:val="14"/>
          <w:b w:val="1"/>
          <w:bCs w:val="1"/>
          <w:i w:val="1"/>
          <w:iCs w:val="1"/>
          <w:color w:val="auto"/>
        </w:rPr>
        <w:t>linical trials may be delayed, suspended or terminated for many reasons, which will increase our expenses and delay the time it takes to develop our product candidates.</w:t>
      </w:r>
    </w:p>
    <w:p>
      <w:pPr>
        <w:spacing w:after="0" w:line="5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may experience delays in our ongoing or future preclinical trials, and we do not know whether future preclinical studies or clinical trials will begin on time, need to be redesigned, enroll an adequate number of patients on time or be completed on schedule. The commencement and completion of clinical trials for our clinical product candidates may be delayed suspended or terminated as a result of many factors, including:</w:t>
      </w:r>
    </w:p>
    <w:p>
      <w:pPr>
        <w:spacing w:after="0" w:line="8" w:lineRule="exact"/>
        <w:rPr>
          <w:sz w:val="20"/>
          <w:szCs w:val="20"/>
          <w:color w:val="auto"/>
        </w:rPr>
      </w:pPr>
    </w:p>
    <w:p>
      <w:pPr>
        <w:ind w:left="760" w:hanging="246"/>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disagreeing as to the design, protocol or implementation of our clinical studies;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delay or refusal of regulators or IRBs, to authorize us to commence a clinical trial at a prospective trial site;</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regulatory requirements, policies and guidelines;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1" w:name="page32"/>
    <w:bookmarkEnd w:id="31"/>
    <w:p>
      <w:pPr>
        <w:ind w:left="760" w:hanging="246"/>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or failure to reach an agreement on acceptable terms with prospective CROs, and clinical trial sites;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enroll or delays in enrolling a sufficient number of patients in trials, particularly in orphan indications, to observe statistically significant treatment effects in the trial;</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having clinical sites deviate from the trial protocol;</w:t>
      </w:r>
    </w:p>
    <w:p>
      <w:pPr>
        <w:spacing w:after="0" w:line="51" w:lineRule="exact"/>
        <w:rPr>
          <w:rFonts w:ascii="Times New Roman" w:cs="Times New Roman" w:eastAsia="Times New Roman" w:hAnsi="Times New Roman"/>
          <w:sz w:val="14"/>
          <w:szCs w:val="14"/>
          <w:color w:val="auto"/>
        </w:rPr>
      </w:pPr>
    </w:p>
    <w:p>
      <w:pPr>
        <w:ind w:left="760" w:hanging="246"/>
        <w:spacing w:after="0" w:line="284" w:lineRule="auto"/>
        <w:tabs>
          <w:tab w:leader="none" w:pos="7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or inconclusive results from ongoing preclinical studies or clinical trials, which may require us to conduct additional preclinical studies or clinical trials or to abandon projects that we had expected to be promising;</w:t>
      </w:r>
    </w:p>
    <w:p>
      <w:pPr>
        <w:ind w:left="760" w:hanging="246"/>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reports from preclinical testing of other similar therapies that raise safety or efficacy concerns;</w:t>
      </w:r>
    </w:p>
    <w:p>
      <w:pPr>
        <w:spacing w:after="0" w:line="51" w:lineRule="exact"/>
        <w:rPr>
          <w:rFonts w:ascii="Times New Roman" w:cs="Times New Roman" w:eastAsia="Times New Roman" w:hAnsi="Times New Roman"/>
          <w:sz w:val="14"/>
          <w:szCs w:val="14"/>
          <w:color w:val="auto"/>
        </w:rPr>
      </w:pPr>
    </w:p>
    <w:p>
      <w:pPr>
        <w:ind w:left="760" w:hanging="246"/>
        <w:spacing w:after="0" w:line="284" w:lineRule="auto"/>
        <w:tabs>
          <w:tab w:leader="none" w:pos="7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regulators or IRBs requiring that we or our investigators suspend or terminate clinical research for various reasons, including noncompliance with regulatory requirements or safety concerns, among others;</w:t>
      </w:r>
    </w:p>
    <w:p>
      <w:pPr>
        <w:ind w:left="760" w:hanging="246"/>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than anticipated retention rates of patients and volunteers in clinical trials;</w:t>
      </w:r>
    </w:p>
    <w:p>
      <w:pPr>
        <w:spacing w:after="0" w:line="51" w:lineRule="exact"/>
        <w:rPr>
          <w:rFonts w:ascii="Times New Roman" w:cs="Times New Roman" w:eastAsia="Times New Roman" w:hAnsi="Times New Roman"/>
          <w:sz w:val="14"/>
          <w:szCs w:val="14"/>
          <w:color w:val="auto"/>
        </w:rPr>
      </w:pPr>
    </w:p>
    <w:p>
      <w:pPr>
        <w:ind w:left="760" w:hanging="246"/>
        <w:spacing w:after="0" w:line="284" w:lineRule="auto"/>
        <w:tabs>
          <w:tab w:leader="none" w:pos="7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CROs or clinical trial sites failing to comply with regulatory requirements or meet their contractual obligations to us in a timely manner, or at all, deviating from the protocol or dropping out of a trial;</w:t>
      </w:r>
    </w:p>
    <w:p>
      <w:pPr>
        <w:ind w:left="760" w:hanging="246"/>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establishing the appropriate dosage levels; and</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exceeding budgeted costs due to difficulty in accurately predicting costs associated with clinical trials.</w:t>
      </w:r>
    </w:p>
    <w:p>
      <w:pPr>
        <w:spacing w:after="0" w:line="5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If we experience delays in the commencement or completion of any clinical trial of our product candidates, or if any clinical trials suspended or terminated, our costs may substantially increase and the commercial prospects of our product candidates may be harmed and our ability to generate revenue from sales of any product candidate will be delayed or not realized at all. Significant preclinical study or clinical trial delays also could shorten the period during which we have exclusive rights to commercialize a product candidate or allow our competitors to bring products to market before we do and impair our ability to successfully commercialize a product candidate.</w:t>
      </w:r>
    </w:p>
    <w:p>
      <w:pPr>
        <w:spacing w:after="0" w:line="11"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have limited commercialization experience and may lack the necessary expertise, personnel and resources to successfully commercialize our other product candidates that must first receive regulatory approval, either on our own or together with collaborators.</w:t>
      </w: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We rely on our third-party licensees to commercialize our multiple licensed products and to date have only marketed, through our own efforts and with the services of third-party outsourcing vendors, including contract sales personnel, our first self-developed product, Sympazan, launched in December 2018. With the license of Sympazan to Assertio in October 2022, we scaled back many of our commercial operations, including elimination of our sales and marketing force. In April 2024 we launched Libervant for ARS patients between two and five years of age, however a year later the commercial efforts ceased due to marketing authorization being converted to tentative approval by the FDA because of a legal decision. In 2025 we were working towards a potential launch of Anaphylm, if approved by the FDA. Given our limited history of direct experience in commercializing product candidates, and current limited commercial operations, we have no long-term experience upon which to measure our ability or success in commercializing future product candidates, if approved, or our ability to make predictions about financial results or prospects of any future launches of product candidates, if approved.</w:t>
      </w:r>
    </w:p>
    <w:p>
      <w:pPr>
        <w:spacing w:after="0" w:line="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Our ongoing commercial strategy for our product candidates involves the development of a commercial infrastructure that spans multiple jurisdictions and is dependent upon our ability to build an infrastructure that is capable of implementing our commercial product launch strategy. The establishment and development of our commercial infrastructure will be expensive and time consuming, and we may not be able to develop our commercial infrastructure successfully or in a timely manner, or at all. Doing so will require a high degree of coordination and compliance with laws and regulations in numerous territories, including in the United States, each state, and other countries in which we do business, including restrictions on advertising practices, enforcement of intellectual property rights, restrictions on pricing or discounts, transparency laws and regulations, and unexpected changes in regulatory requirements and tariffs. If we are unable to effectively coordinate such activities or comply with such laws and regulations, our ability to commercialize our product candidates in the United States and other jurisdictions in which they are or may be available will be materially adversely affected.</w:t>
      </w:r>
    </w:p>
    <w:p>
      <w:pPr>
        <w:spacing w:after="0" w:line="19"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also intend to enter into strategic licenses with third parties to commercialize our product candidates. We may have difficulty establishing relationships with third parties on terms that are acceptable to us, or in all of the regions where we wish to commercialize our products, or at all. If we are unable to build our own distribution and marketing capabilities or to find suitable licensees for the commercialization of our products and product candidates, if approved, we may have difficulties generating revenue from them and our business, results of operations, financial condition and prospects and the trading price of our stock may be materially adversely affected.</w:t>
      </w:r>
    </w:p>
    <w:p>
      <w:pPr>
        <w:spacing w:after="0" w:line="11"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success depends upon attaining significant market acceptance of our licensed products and proprietary products and product candidates, if approved, among patients, physicians, pharmacists and the medical community.</w:t>
      </w: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It is possible that we may not complete development of our product candidates or obtain regulatory approval for those product candidates. Even if we do complete development and obtain regulatory approval for our product candidates, our product candidates may not gain market acceptance among patients, physicians, nurses, pharmacists, the medical community or</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color w:val="auto"/>
        </w:rPr>
        <w:t>third-party payors, which is critical to commercial success. Market acceptance of our products and any product candidate for which we receive approval depends on a number of factors, including:</w:t>
      </w:r>
    </w:p>
    <w:p>
      <w:pPr>
        <w:spacing w:after="0" w:line="51" w:lineRule="exact"/>
        <w:rPr>
          <w:sz w:val="20"/>
          <w:szCs w:val="20"/>
          <w:color w:val="auto"/>
        </w:rPr>
      </w:pPr>
    </w:p>
    <w:p>
      <w:pPr>
        <w:ind w:left="760" w:hanging="246"/>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market introduction of the product candidate as well as competitive products;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clinical indications for which the product candidate is approved;</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and perceived advantages of such product candidate over alternative treatments;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favorable pricing and the availability of coverage and adequate reimbursement by third-party payors and government authorities;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relative convenience and ease of administration;</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negative publicity related to our or our competitors’ products that include the same active ingredient;</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prevalence and severity of adverse side effects, including limitations or warnings contained in a product’s FDA-approved labeling; and</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sales and marketing efforts.</w:t>
      </w:r>
    </w:p>
    <w:p>
      <w:pPr>
        <w:spacing w:after="0" w:line="5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Even if a potential product displays a favorable efficacy and safety profile in clinical trials, market acceptance of the product will not be known until a period of time after it is launched. If our products or product candidates, if approved, fail to achieve an adequate level of acceptance by patients, physicians, nurses, pharmacists, the medical community or third-party payors, we will be unable to generate significant revenues, and we may not become or remain profitable.</w:t>
      </w:r>
    </w:p>
    <w:p>
      <w:pPr>
        <w:spacing w:after="0" w:line="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In addition, the potential market opportunities for our product candidates are difficult to estimate. Our estimates of the potential market opportunities are predicated on several key assumptions such as industry knowledge and publications, third-party research reports or analyses and other analytical information. While we believe that our internal assumptions are reasonable, these assumptions may be inaccurate. If any of the assumptions proves to be inaccurate, then the actual market for our product candidates could be smaller than our estimates of the potential market opportunity. If the actual market for our product candidates is smaller than we expect, or if the products fail to achieve an adequate level of acceptance by physicians, health care payors and patients, our revenue from product sales may be limited and we may be unable to achieve or maintain profitability.</w:t>
      </w:r>
    </w:p>
    <w:p>
      <w:pPr>
        <w:spacing w:after="0" w:line="16" w:lineRule="exact"/>
        <w:rPr>
          <w:sz w:val="20"/>
          <w:szCs w:val="20"/>
          <w:color w:val="auto"/>
        </w:rPr>
      </w:pPr>
    </w:p>
    <w:p>
      <w:pPr>
        <w:jc w:val="both"/>
        <w:ind w:firstLine="509"/>
        <w:spacing w:after="0" w:line="283" w:lineRule="auto"/>
        <w:rPr>
          <w:sz w:val="20"/>
          <w:szCs w:val="20"/>
          <w:color w:val="auto"/>
        </w:rPr>
      </w:pPr>
      <w:r>
        <w:rPr>
          <w:rFonts w:ascii="Times New Roman" w:cs="Times New Roman" w:eastAsia="Times New Roman" w:hAnsi="Times New Roman"/>
          <w:sz w:val="14"/>
          <w:szCs w:val="14"/>
          <w:color w:val="auto"/>
        </w:rPr>
        <w:t>Further, we may not be able to hire or contract for a sales force that is sufficient in size or has adequate expertise in the medical markets that we intend to target for our product candidates in the future. Any failure or delay in the development of our sales, marketing and distribution capabilities would adversely impact the commercialization of our product candidates, if approved.</w:t>
      </w:r>
    </w:p>
    <w:p>
      <w:pPr>
        <w:jc w:val="both"/>
        <w:ind w:firstLine="255"/>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Regulatory approval for any approved product is limited by the FDA to those specific indications and conditions for which clinical safety and efficacy have been demonstrated, and any allegations of our failure to comply with such approved indications could limit our sales efforts and have a material adverse effect on our business.</w:t>
      </w: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FDA strictly regulates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grants is limited to those specific diseases and indications for which a product is deemed to be safe and effective by the FDA. In addition to the FDA approval required for new formulations, any new indication for an approved product also requires FDA approval. If we are not able to obtain FDA approval for any desired future indications for our products and product candidates, our ability to effectively market and sell our products may be reduced and our business may be materially adversely affected.</w:t>
      </w:r>
    </w:p>
    <w:p>
      <w:pPr>
        <w:spacing w:after="0" w:line="1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While physicians in the U.S. may choose and are generally permitted to prescribe drugs for uses that are not described in the product’s labeling and for uses that differ from those tested in clinical trials and approved by the regulatory authorities, our ability to promote our products is narrowly limited to those indications that are specifically approved by the FDA. These “off-label” uses are common across medical specialties and may constitute an appropriate treatment for some patients in varied circumstances. Regulatory authorities in the U.S. generally do not regulate the behavior of physicians in their choice of treatments. Regulatory authorities do, however, restrict communications by pharmaceutical companies on the subject of off-label use. Promotional activities that fail to comply with the FDA’s regulations or guidelines may be subject to warnings from, or enforcement action by, these authorities and may cause the FDA to issue warning letters or untitled letters, bring an enforcement actions, suspend or withdraw an approved product from the market, require a recall or institute fines, or could result in disgorgement of money, operating restrictions, injunctions or criminal prosecution, any of which could materially harm our reputation and our business significantly.</w:t>
      </w:r>
    </w:p>
    <w:p>
      <w:pPr>
        <w:spacing w:after="0" w:line="17"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could incur substantial costs and disruption to our business and delays in the launch of our product candidates if our competitors and/or collaborators bring legal actions against us, which could harm our business and operating results.</w:t>
      </w: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cannot predict whether our competitors or potential competitors may bring legal action against us based on our research, development and commercialization activities, as well as any product candidates or products resulting from these activities, claiming, among other things, infringement of their intellectual property rights, breach of contract, false or disparaging statements about another company’s products or product candidates, or other legal theories. To date we have been</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3" w:name="page34"/>
    <w:bookmarkEnd w:id="33"/>
    <w:p>
      <w:pPr>
        <w:jc w:val="both"/>
        <w:spacing w:after="0" w:line="258" w:lineRule="auto"/>
        <w:rPr>
          <w:sz w:val="20"/>
          <w:szCs w:val="20"/>
          <w:color w:val="auto"/>
        </w:rPr>
      </w:pPr>
      <w:r>
        <w:rPr>
          <w:rFonts w:ascii="Times New Roman" w:cs="Times New Roman" w:eastAsia="Times New Roman" w:hAnsi="Times New Roman"/>
          <w:sz w:val="14"/>
          <w:szCs w:val="14"/>
          <w:color w:val="auto"/>
        </w:rPr>
        <w:t>subject to a number of claims of this nature. In defending such lawsuits, whether or not they are with or without merit or are ultimately determined in our favor, we would continue to face costly litigation and diversion of technical and management personnel. These lawsuits could hinder our ability to enter the market early with our product candidates and thereby hinder our ability to influence usage patterns when fewer, if any, of our potential competitors have entered the market, which could adversely impact our potential revenue from such product candidates. Some of our competitors have substantially greater resources than we do and could be able to sustain the cost of litigation to a greater extent and for longer periods of time than we can. Furthermore, an adverse outcome of a dispute may require us: to pay damages, potentially including treble damages and attorneys’ fees, if we are found to have willfully infringed a party’s patent or other intellectual property rights; to cease making, licensing or using products that are alleged to incorporate or make use of the intellectual property of others; to expend additional development resources to reformulate our products or prevent us from marketing a product; and to enter into potentially unfavorable royalty or license agreements in order to obtain the rights to use necessary technologies.</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Guidelines and recommendations published by government agencies can reduce the use of our products or product candidates.</w:t>
      </w:r>
    </w:p>
    <w:p>
      <w:pPr>
        <w:spacing w:after="0" w:line="5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Government agencies promulgate regulations and guidelines applicable to certain drug classes which may include our products and product candidates. Regulations and guidelines of government agencies may relate to such matters as usage, dosage, route of administration and use of concomitant therapies. Regulations or guidelines suggesting the reduced use of certain drug classes which may include our products and product candidates or the use of competitive or alternative products as the standard of care to be followed by patients and healthcare providers could result in decreased use of our products or product candidates or negatively impact our ability to gain market acceptance and market share. For example, Suboxone, which treats opioid addiction, has as one of its active ingredients an opioid, buprenorphine. Revisions to regulations or guidelines suggesting the reduced use of opioid drugs such as buprenorphine could result in decreased use of Suboxone.</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We face significant competition from other pharmaceutical companies, and our operating results will suffer if we fail to compete effectively.</w:t>
      </w:r>
    </w:p>
    <w:p>
      <w:pPr>
        <w:spacing w:after="0" w:line="53"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The pharmaceutical industry is intensely competitive and subject to rapid and significant technological change. We expect to have competitors both in the United States and internationally, including major multinational pharmaceutical companies, biotechnology companies and universities and other research institutions. Many of our competitors have substantially greater financial, technical and other resources, such as larger R&amp;D staff and experienced marketing and manufacturing organizations. Mergers and acquisitions in the biotechnology and pharmaceutical industries may result in even more resources being concentrated in our competitors. As a result, these companies may obtain regulatory approval more rapidly than we are able and may be more effective in selling and marketing their products. Smaller or early-stage companies may also prove to be significant competitors, particularly through collaborative arrangements with large, established companies. Competition may increase further as a result of advances in the commercial applicability of technologies and greater availability of capital for investment in these companies. Our competitors may succeed in developing, acquiring or licensing on an exclusive basis drug products or drug administration technologies that are more effective than our products or product candidates. In addition, our competitors may submit citizen petitions with the FDA in an attempt to persuade the FDA that our product candidates, or the clinical studies that support their approval, contain deficiencies. Such actions by our competitors could delay or even prevent the FDA from approving any NDA that we submit under Section 505(b)(2) or other filing pathways.</w:t>
      </w:r>
    </w:p>
    <w:p>
      <w:pPr>
        <w:spacing w:after="0" w:line="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believe that our ability to successfully compete will depend on, among other things:</w:t>
      </w:r>
    </w:p>
    <w:p>
      <w:pPr>
        <w:spacing w:after="0" w:line="51" w:lineRule="exact"/>
        <w:rPr>
          <w:sz w:val="20"/>
          <w:szCs w:val="20"/>
          <w:color w:val="auto"/>
        </w:rPr>
      </w:pPr>
    </w:p>
    <w:p>
      <w:pPr>
        <w:ind w:left="760" w:hanging="246"/>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efficacy and safety of our products and product candidates;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it takes for our product candidates to complete preclinical and clinical development and receive marketing approval;</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 good relationship with regulatory authorities;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commercialize and market any of our product candidates after receiving regulatory approval;</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of our products relative to pricing of branded or generic competitors;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coverage and adequate levels of reimbursement are available under private and governmental health insurance plans, including Medicare and Medicaid;</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protect intellectual property rights related to our products and product candidates;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manufacture on a cost-effective basis for our products and product candidates that receive regulatory approval; and</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acceptance by physicians and other healthcare providers of any of our products and product candidates that receive regulatory approval.</w:t>
      </w:r>
    </w:p>
    <w:p>
      <w:pPr>
        <w:spacing w:after="0" w:line="51"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If our competitors’ market products that are more effective, safer or less expensive than our product candidates, or that reach the market sooner than our product candidates, our products may enter the market too late in the cycle and may not achieve commercial success. In addition, the biopharmaceutical industry is characterized by rapid technological change.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4" w:name="page35"/>
    <w:bookmarkEnd w:id="34"/>
    <w:p>
      <w:pPr>
        <w:jc w:val="both"/>
        <w:spacing w:after="0" w:line="283" w:lineRule="auto"/>
        <w:rPr>
          <w:sz w:val="20"/>
          <w:szCs w:val="20"/>
          <w:color w:val="auto"/>
        </w:rPr>
      </w:pPr>
      <w:r>
        <w:rPr>
          <w:rFonts w:ascii="Times New Roman" w:cs="Times New Roman" w:eastAsia="Times New Roman" w:hAnsi="Times New Roman"/>
          <w:sz w:val="14"/>
          <w:szCs w:val="14"/>
          <w:color w:val="auto"/>
        </w:rPr>
        <w:t>Because we have limited R&amp;D capabilities, it may be difficult for us to stay abreast of the rapid changes in each technology. If we fail to stay at the forefront of technological change, we may be unable to compete effectively. Technological advances or products developed by our competitors may render our technologies or product candidates obsolete, less competitive or not economical.</w:t>
      </w:r>
    </w:p>
    <w:p>
      <w:pPr>
        <w:jc w:val="both"/>
        <w:ind w:firstLine="255"/>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achieve and maintain coverage and adequate reimbursement from third-party payors for our licensed products or product candidates, if approved, their commercial success may be severely hindered.</w:t>
      </w: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Successful commercialization of our licensed products and product candidates, if approved, will depend in part on the extent to which coverage and adequate reimbursement are available from third-party payors, including governmental healthcare programs such as Medicare and Medicaid, commercial health insurers and managed care organizations, and how quickly such coverage and reimbursement can be obtained, if obtained at all. Third-party payors determine which medications they will cover and establish reimbursement levels. Reimbursement decisions by third-party payors depend upon a number of factors, including, among other things, each third-party payor’s determination that use of a product is:</w:t>
      </w:r>
    </w:p>
    <w:p>
      <w:pPr>
        <w:spacing w:after="0" w:line="13" w:lineRule="exact"/>
        <w:rPr>
          <w:sz w:val="20"/>
          <w:szCs w:val="20"/>
          <w:color w:val="auto"/>
        </w:rPr>
      </w:pPr>
    </w:p>
    <w:p>
      <w:pPr>
        <w:ind w:left="760" w:hanging="246"/>
        <w:spacing w:after="0"/>
        <w:tabs>
          <w:tab w:leader="none" w:pos="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covered benefit under its health plan;</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appropriate and medically necessary for the specific condition or disease;</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effective; and</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experimental nor investigational.</w:t>
      </w:r>
    </w:p>
    <w:p>
      <w:pPr>
        <w:spacing w:after="0" w:line="5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Obtaining coverage and reimbursement approval from third-party payors may be a time consuming and costly process that could require us to provide supporting scientific, clinical and cost-effectiveness data, including results from expensive pharmacoeconomic studies, beyond the data required to obtain marketing approval, to each third-party payor. There is no guarantee that we will be able to provide data sufficient to gain acceptance with respect to coverage and reimbursement.</w:t>
      </w:r>
    </w:p>
    <w:p>
      <w:pPr>
        <w:spacing w:after="0" w:line="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4"/>
          <w:szCs w:val="14"/>
          <w:color w:val="auto"/>
        </w:rPr>
        <w:t>Cost containment is a primary concern of the U.S. healthcare industry and elsewhere as well as for governmental authorities. Third-party payors are increasingly attempting to contain healthcare costs by limiting both coverage and the level of reimbursement for medical products and services. Third-party payors may deny reimbursement for covered products if they determine that a medical product was not used in accordance with third-party payor coverage policies, such as required procedures for cost-effective diagnosis methods and other conditions that must be met before the third-party payor will provide coverage for use of a product. For example, insurers may establish a “step-edit” system that requires a patient to first use a lower price alternative product prior to becoming eligible for reimbursement of a higher price product. Third-party payors also may refuse to reimburse for drugs, procedures and devices deemed to be experimental, or that are prescribed for an unapproved indication. It is also possible that a third-party payor may consider our products or product candidates as substitutable by less expensive therapies and only offer to reimburse patients for the less expensive product. Even if we show improved efficacy or improved convenience of administration with our products or product candidates, pricing of existing drugs may limit the amount that can be charged for our licensed products or product candidates. These payors may deny or revoke the reimbursement status of a given product or establish prices for new or existing marketed products at levels that are too low to enable us to realize an appropriate return on investment in product development. Further, third-party payors may also limit coverage to specific products on an approved list, or formulary, which might not include all of the FDA-approved products for a particular indication. Further, some third-party payors challenge the prices charged for medical products and may impose price controls or require that drug companies provide them with predetermined discounts from list prices.</w:t>
      </w:r>
    </w:p>
    <w:p>
      <w:pPr>
        <w:spacing w:after="0" w:line="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Obtaining and maintaining reimbursement status is time-consuming and costly. No uniform policy for coverage reimbursement for products exists among third-party payors in the United States. Therefore, coverage and reimbursement for products can differ significantly from payor to payor. As a result, the coverage determination process is generally a time-consuming and costly process that requires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on short notice, and we believe that changes in these rules and regulations are likely.</w:t>
      </w:r>
    </w:p>
    <w:p>
      <w:pPr>
        <w:spacing w:after="0" w:line="1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process for determining whether a payor will provide coverage for a product may be separate from the process for setting the price or reimbursement rate that the payor will pay for the product once coverage is approved. Levels of reimbursement may also decrease in the future, and future legislation, regulation or reimbursement policies of third-party payors may adversely affect the reimbursement available for and the pricing of our product candidates, once approved, which in turn, could negatively impact the demand for our product candidates. If payors are not adequately reimbursed for our licensed products or product candidates, they may reduce or discontinue purchases of them, which would result in a significant shortfall in achieving revenue expectations and negatively impact our business, prospects and financial condition.</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5" w:name="page36"/>
    <w:bookmarkEnd w:id="35"/>
    <w:p>
      <w:pPr>
        <w:jc w:val="both"/>
        <w:ind w:firstLine="255"/>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relationships with customers, physicians, and third-party payors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Healthcare providers, physicians and third-party payors in the United States and elsewhere will play a primary role in the recommendation and prescription of any licensed products currently marketed and any product candidates for which we obtain marketing approval in the future. Our current and future arrangements with healthcare professionals, principal investigators, consultants, customers and third-party payors may subject us to various federal and state fraud and abuse laws and other healthcare laws, including, without limitation, the federal Anti-Kickback Statute, the federal civil and criminal false claims laws and the law commonly referred to as the Physician Payments Sunshine Act and regulations promulgated thereunder. These laws will impact, among other things, our clinical research programs and our proposed sales, marketing and educational programs for our product candidates, if approved. In addition, we may be subject to patient privacy laws by both the federal government and the states in which we conduct or may conduct our business. The laws that will affect our operations include, but are not limited to:</w:t>
      </w:r>
    </w:p>
    <w:p>
      <w:pPr>
        <w:spacing w:after="0" w:line="19" w:lineRule="exact"/>
        <w:rPr>
          <w:sz w:val="20"/>
          <w:szCs w:val="20"/>
          <w:color w:val="auto"/>
        </w:rPr>
      </w:pPr>
    </w:p>
    <w:p>
      <w:pPr>
        <w:jc w:val="both"/>
        <w:ind w:left="760" w:hanging="246"/>
        <w:spacing w:after="0" w:line="261" w:lineRule="auto"/>
        <w:tabs>
          <w:tab w:leader="none" w:pos="75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Under the PPACA a person or entity no longer needs to have actual knowledge of this statute or specific intent to violate it and action that may be customary in other industries ma unintentionally violate the Anti-Kickback Statute;</w:t>
      </w:r>
    </w:p>
    <w:p>
      <w:pPr>
        <w:spacing w:after="0" w:line="15" w:lineRule="exact"/>
        <w:rPr>
          <w:rFonts w:ascii="Times New Roman" w:cs="Times New Roman" w:eastAsia="Times New Roman" w:hAnsi="Times New Roman"/>
          <w:sz w:val="14"/>
          <w:szCs w:val="14"/>
          <w:color w:val="auto"/>
        </w:rPr>
      </w:pPr>
    </w:p>
    <w:p>
      <w:pPr>
        <w:jc w:val="both"/>
        <w:ind w:left="760" w:hanging="246"/>
        <w:spacing w:after="0" w:line="263" w:lineRule="auto"/>
        <w:tabs>
          <w:tab w:leader="none" w:pos="75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civil and criminal false claims laws, including, without limitation, the False Claims Act, and civil monetary penalty laws which prohibit, among other things, individuals or entities from knowingly presenting, or causing to be presented, claims for payment or approval from Medicare, Medicaid or other government payors that are false or fraudulent or making a false statement to avoid, decrease or conceal an obligation to pay money to the federal government. The PPACA provides, and recent government cases against pharmaceutical and medical device manufacturers support, the view that federal Anti-Kickback Statute violations and certain marketing practices, including off-label promotion, may implicate the False Claims Act;</w:t>
      </w:r>
    </w:p>
    <w:p>
      <w:pPr>
        <w:spacing w:after="0" w:line="185" w:lineRule="exact"/>
        <w:rPr>
          <w:rFonts w:ascii="Times New Roman" w:cs="Times New Roman" w:eastAsia="Times New Roman" w:hAnsi="Times New Roman"/>
          <w:sz w:val="14"/>
          <w:szCs w:val="14"/>
          <w:color w:val="auto"/>
        </w:rPr>
      </w:pPr>
    </w:p>
    <w:p>
      <w:pPr>
        <w:ind w:left="760" w:hanging="246"/>
        <w:spacing w:after="0" w:line="284" w:lineRule="auto"/>
        <w:tabs>
          <w:tab w:leader="none" w:pos="75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HIPAA created federal criminal statutes that prohibit a person from knowingly and willfully executing a scheme or making false or fraudulent statements to defraud any healthcare benefit program, regardless of the payor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xml:space="preserve"> public or private);</w:t>
      </w:r>
    </w:p>
    <w:p>
      <w:pPr>
        <w:jc w:val="both"/>
        <w:ind w:left="760" w:hanging="246"/>
        <w:spacing w:after="0" w:line="270" w:lineRule="auto"/>
        <w:tabs>
          <w:tab w:leader="none" w:pos="75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HIPAA, as amended by HITECH, which imposes certain requirements relating to the privacy, security and transmission of individually identifiable health information without appropriate authorization on entities subject to the rule, such as health plans, healthcare clearinghouses and certain healthcare providers, and their respective business associates who provide services involving the creation, use or disclosure of HIPAA protected health information;</w:t>
      </w:r>
    </w:p>
    <w:p>
      <w:pPr>
        <w:spacing w:after="0" w:line="8" w:lineRule="exact"/>
        <w:rPr>
          <w:rFonts w:ascii="Times New Roman" w:cs="Times New Roman" w:eastAsia="Times New Roman" w:hAnsi="Times New Roman"/>
          <w:sz w:val="14"/>
          <w:szCs w:val="14"/>
          <w:color w:val="auto"/>
        </w:rPr>
      </w:pPr>
    </w:p>
    <w:p>
      <w:pPr>
        <w:jc w:val="both"/>
        <w:ind w:left="760" w:hanging="246"/>
        <w:spacing w:after="0" w:line="261" w:lineRule="auto"/>
        <w:tabs>
          <w:tab w:leader="none" w:pos="75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transparency laws, including the federal Physician Payments Sunshine Act, which is part of the PPACA, that require certain manufacturers of drugs, devices, biologics and medical supplies for which payment is available under Medicare, Medicaid or the Children’s Health Insurance Program, with specific exceptions, to report annually to CMS information related to: (i) payments or other “transfers of value” made to physicians, physician assistants, nurse practitioners, clinical nurse specialists, certified nurse anesthetists, certified nurse-midwives and teaching hospitals; and (ii) certain ownership and investment interests held by physicians and their immediate family members, with such information being made publicly available through a searchable website;</w:t>
      </w:r>
    </w:p>
    <w:p>
      <w:pPr>
        <w:spacing w:after="0" w:line="15" w:lineRule="exact"/>
        <w:rPr>
          <w:rFonts w:ascii="Times New Roman" w:cs="Times New Roman" w:eastAsia="Times New Roman" w:hAnsi="Times New Roman"/>
          <w:sz w:val="14"/>
          <w:szCs w:val="14"/>
          <w:color w:val="auto"/>
        </w:rPr>
      </w:pPr>
    </w:p>
    <w:p>
      <w:pPr>
        <w:jc w:val="both"/>
        <w:ind w:left="760" w:hanging="246"/>
        <w:spacing w:after="0" w:line="263" w:lineRule="auto"/>
        <w:tabs>
          <w:tab w:leader="none" w:pos="75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and foreign law equivalents of each of the above federal laws; state laws that require manufacturers to report information related to payments and other transfers of value to physicians and other healthcare providers, marketing expenditures, or pricing information; state laws that require pharmaceutical companies to comply with the pharmaceutical industry’s voluntary compliance guidelines and the relevant compliance guidance promulgated by the federal government or to adopt compliance programs as prescribed by state laws and regulations, or that otherwise restrict payments that may be made to healthcare providers; and state and local laws that require the registration of pharmaceutical sales representatives; and</w:t>
      </w:r>
    </w:p>
    <w:p>
      <w:pPr>
        <w:spacing w:after="0" w:line="185" w:lineRule="exact"/>
        <w:rPr>
          <w:rFonts w:ascii="Times New Roman" w:cs="Times New Roman" w:eastAsia="Times New Roman" w:hAnsi="Times New Roman"/>
          <w:sz w:val="14"/>
          <w:szCs w:val="14"/>
          <w:color w:val="auto"/>
        </w:rPr>
      </w:pPr>
    </w:p>
    <w:p>
      <w:pPr>
        <w:ind w:left="760" w:hanging="246"/>
        <w:spacing w:after="0" w:line="284" w:lineRule="auto"/>
        <w:tabs>
          <w:tab w:leader="none" w:pos="75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and foreign laws that govern the privacy and security of health information in some circumstances, many of which differ from each other in significant ways and often are not preempted by HIPAA, thus complicating compliance efforts.</w:t>
      </w:r>
    </w:p>
    <w:p>
      <w:pPr>
        <w:spacing w:after="0" w:line="1"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Because of the breadth of these laws and the narrowness of the statutory exceptions and safe harbors available, it is possible that some of our business activities could be subject to challenge under one or more of such laws.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6" w:name="page37"/>
    <w:bookmarkEnd w:id="36"/>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individual imprisonment, exclusion from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w:t>
      </w:r>
    </w:p>
    <w:p>
      <w:pPr>
        <w:spacing w:after="0" w:line="1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The risk of our being found in violation of these laws is increased by the fact that many of them have not been fully interpreted by the regulatory authorities or the courts, and the provisions are open to a variety of interpretations. Moreover the industry is adapting with use of technology and direct-to-patient access for medications and government initiatives are supportive of the DTC model, though this guidance is nascent and does not address the full scope of potential issues.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17"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Recently enacted and future healthcare reform legislation or regulation may increase the difficulty and cost for us and any future collaborators to obtain marketing approval of and commercialize our product candidates and may adversely affect the prices we, or they, may obtain and may have a negative impact on our business and results of operations.</w:t>
      </w: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ability, or the ability of any future collaborators, to profitably sell any products for which we, or they, obtain marketing approval. Among policymakers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We expect that current laws, as well as other healthcare reform measures that may be adopted in the future, may result in more rigorous coverage criteria and in additional downward pressure on the price that we, or any future collaborators, may receive for any approved products. In March 2010, President Obama signed into law the PPACA. Among the provisions of the PPACA of importance to our business, including our ability to commercialize and the prices we may obtain for any of our products and product candidates that are approved for sale, are the following:</w:t>
      </w:r>
    </w:p>
    <w:p>
      <w:pPr>
        <w:spacing w:after="0" w:line="21" w:lineRule="exact"/>
        <w:rPr>
          <w:sz w:val="20"/>
          <w:szCs w:val="20"/>
          <w:color w:val="auto"/>
        </w:rPr>
      </w:pPr>
    </w:p>
    <w:p>
      <w:pPr>
        <w:ind w:left="760" w:hanging="246"/>
        <w:spacing w:after="0" w:line="284" w:lineRule="auto"/>
        <w:tabs>
          <w:tab w:leader="none" w:pos="75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annual, nondeductible fee on any entity that manufactures or imports specified branded prescription drugs and biologic agents, apportioned among these entities according to their market share in certain government healthcare programs, although this fee does not apply to sales of certain products approved exclusively for orphan indications;</w:t>
      </w:r>
    </w:p>
    <w:p>
      <w:pPr>
        <w:ind w:left="760" w:hanging="246"/>
        <w:spacing w:after="0" w:line="284" w:lineRule="auto"/>
        <w:tabs>
          <w:tab w:leader="none" w:pos="75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jc w:val="both"/>
        <w:ind w:left="760" w:hanging="246"/>
        <w:spacing w:after="0" w:line="270" w:lineRule="auto"/>
        <w:tabs>
          <w:tab w:leader="none" w:pos="75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expansion of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 and extending rebate liability to prescriptions for individuals enrolled in Medicare Advantage plans;</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 of more entity types eligible for participation in the Public Health Service 340B drug pricing program, or the 340B program;</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new Patient-Centered Outcomes Research Institute to oversee, identify priorities in, and conduct comparative clinical effectiveness research, along with funding for such research; and</w:t>
      </w:r>
    </w:p>
    <w:p>
      <w:pPr>
        <w:spacing w:after="0" w:line="51" w:lineRule="exact"/>
        <w:rPr>
          <w:rFonts w:ascii="Times New Roman" w:cs="Times New Roman" w:eastAsia="Times New Roman" w:hAnsi="Times New Roman"/>
          <w:sz w:val="14"/>
          <w:szCs w:val="14"/>
          <w:color w:val="auto"/>
        </w:rPr>
      </w:pPr>
    </w:p>
    <w:p>
      <w:pPr>
        <w:ind w:left="760" w:hanging="246"/>
        <w:spacing w:after="0" w:line="284" w:lineRule="auto"/>
        <w:tabs>
          <w:tab w:leader="none" w:pos="75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establishment of the Center for Medicare and Medicaid Innovation within CMS to test innovative payment and service delivery models to lower Medicare and Medicaid spending, potentially including prescription drug spending.</w:t>
      </w:r>
    </w:p>
    <w:p>
      <w:pPr>
        <w:spacing w:after="0" w:line="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addition, other legislative changes have been proposed and adopted since the PPACA was enacted. For example, beginning April 1, 2013, Medicare payments for all items and services, including drugs and biologics, were reduced by 2% under the sequestration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xml:space="preserve"> automatic spending reductions) required by the Budget Control Act of 2011, as amended by the American Taxpayer Relief Act of 2012. Subsequent legislation, including the BBA, extended the 2% reduction, on average, to 2032, subject to additional Congressional action. Sequestration may result in additional reductions in Medicare and other healthcare funding and, if we obtain regulatory approvals, may otherwise affect the prices we may obtain for our product</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7" w:name="page38"/>
    <w:bookmarkEnd w:id="37"/>
    <w:p>
      <w:pPr>
        <w:jc w:val="both"/>
        <w:spacing w:after="0" w:line="264" w:lineRule="auto"/>
        <w:rPr>
          <w:sz w:val="20"/>
          <w:szCs w:val="20"/>
          <w:color w:val="auto"/>
        </w:rPr>
      </w:pPr>
      <w:r>
        <w:rPr>
          <w:rFonts w:ascii="Times New Roman" w:cs="Times New Roman" w:eastAsia="Times New Roman" w:hAnsi="Times New Roman"/>
          <w:sz w:val="14"/>
          <w:szCs w:val="14"/>
          <w:color w:val="auto"/>
        </w:rPr>
        <w:t>candidates or the frequency with which our product candidates may be prescribed or used if approved. Due to the Statutory Pay-As-You-Go Act of 2010, estimated budget deficit increases resulting from the American Rescue Plan Act of 2021 and subsequent legislation, Medicare payments to providers are subject to further reductions in 2025. Additional changes that may affect our business include the expansion of new programs such as Medicare payment for performance initiatives for physicians under the Medicare Access and CHIP Reauthorization Act of 2015 (MACRA). The introduction of the Medicare quality payment program has shifted the focus of physician reimbursement from volume to value, encouraging higher quality and more cost-effective care.</w:t>
      </w:r>
    </w:p>
    <w:p>
      <w:pPr>
        <w:spacing w:after="0" w:line="13"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Further, legislative changes to or regulatory changes under the PPACA remain possible in the U.S. Congress and under the second-term Trump administration. The nature and extent of any legislative or regulatory changes to the PPACA, including repeal and replacement initiatives, are uncertain at this time. It is possible that the PPACA repeal and replacement initiatives, if enacted into law, could ultimately result in fewer individuals having health insurance coverage or in individuals having insurance coverage with less generous benefits, including limited coverage for drugs. While Congress has not passed repeal legislation, the Tax Cuts and Jobs Act of 2017 (“TCJA”), which was signed into law by President Trump during his first administration, effectively eliminated the federal “individual mandate” penalty imposed by the PPACA on individuals who failed to maintain qualifying health coverage for all or part of a year. Shortly thereafter, the BBA amended the PPACA to close the coverage gap in most Medicare drug plans, commonly referred to as the “donut hole.” The Inflation Reduction Act of 2022, which was signed into law by President Biden, has since eliminated the coverage gap and replaced it with a $2,000 annual cap on out-of-pocket spending for covered drugs. We will continue to evaluate the impact of the PPACA on our business, and the potential for its further repeal or replacement.</w:t>
      </w:r>
    </w:p>
    <w:p>
      <w:pPr>
        <w:spacing w:after="0" w:line="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4"/>
          <w:szCs w:val="14"/>
          <w:color w:val="auto"/>
        </w:rPr>
        <w:t>The costs of prescription pharmaceuticals in the United States have also been the subject of considerable discussion in the United States, and members of Congress and the administration have stated that they will address such costs through new legislative and administrative measures. This focus has resulted in several Congressional inquiries and proposed and enacted federal and state legislation designed to bring more transparency to product pricing, review the relationship between pricing and manufacturer patient programs, and reform government program reimbursement methodologies for drug products. In 2022, the Biden administration signed into law the Inflation Reduction Act, which included a number of significant drug pricing reforms, including the establishment of a drug price negotiation program within the HHS that, starting in 2026, will require manufacturers to charge a negotiated “maximum fair price” for certain selected drugs or pay an excise tax for noncompliance; the establishment of rebate payment requirements on manufacturers under Medicare Parts B and D to penalize price increases that outpace inflation; and a redesign of the Part D benefit, as part of which manufacturers are required to provide discounts on Part D drugs. Additionally, President Biden issued a subsequent Executive Order directing the Secretary of the HHS consider whether new payment and delivery models would lower drug costs, though, on the first day of his second term, President Trump repealed that Executive Order.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3"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We expect that we may experience more rigorous coverage criteria and additional downward pricing pressure as the result of these and other healthcare reform measures that may be adopted in the future.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Additionally, policy changes resulting from the new presidential administration may create sudden and unexpected shifts in the operations of HHS that might impact both existing and planned operations.</w:t>
      </w:r>
    </w:p>
    <w:p>
      <w:pPr>
        <w:spacing w:after="0" w:line="19"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product candidates. If reimbursement of our products is unavailable or limited in scope or amount, or if pricing is set at unsatisfactory levels, our ability to generate revenues and become profitable could be impaired.</w:t>
      </w:r>
    </w:p>
    <w:p>
      <w:pPr>
        <w:spacing w:after="0" w:line="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Changes in U.S. government policies, including those with respect to China, increased tariffs, and reductions in federal research funding, could adversely affect our business.</w:t>
      </w:r>
    </w:p>
    <w:p>
      <w:pPr>
        <w:spacing w:after="0" w:line="5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Significant political, trade, or regulatory developments in the jurisdictions in which we may sell our products, such as those stemming from the change in U.S. federal administration, are difficult to predict and may have a material adverse effect on us. Similarly, changes in U.S. federal policy that affect the geopolitical landscape could give rise to circumstances outside our control that could have negative impacts on our business operations. For example, policy actions by the current presidential administration, including the imposition of new tariffs on imported materials and goods from certain foreign countries,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color w:val="auto"/>
        </w:rPr>
        <w:t>including Canada, Mexico, and China, and the temporary freeze on federal grants and loans, may have an adverse impact on our business.</w:t>
      </w:r>
    </w:p>
    <w:p>
      <w:pPr>
        <w:spacing w:after="0" w:line="51"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In April 2025, the current presidential administration imposed a baseline ten percent tariff on imports from all nations importing goods to the United States, with that baseline supplemented in certain cases by additional tariffs that vary by nation, product, or industry. Retaliatory tariffs on U.S. goods have been imposed by, among others, China, Canada, and the European Union, or the EU, which could impact inflation rate, increase the cost of goods, and adversely affect our business. While tariffs with certain countries have been temporarily reduced, the underlying trade tensions and the potential reimposition of elevated tariffs may continue to pose risks to global supply chains and economic relations. Historically, tariffs have led to increased political tensions, between not only the United States and China, but also between the United States and other countries in the international community.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but not limited to, U.S. and China trade policies, could have a material adverse effect on our financial condition or results of operations. In addition, increased tariffs on critical raw materials, components, and finished goods could raise our production costs and disrupt our supply chain, which could adversely affect our clinical development activities.</w:t>
      </w:r>
    </w:p>
    <w:p>
      <w:pPr>
        <w:spacing w:after="0" w:line="1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Additionally, reduction in or suspension of certain federal research grants may negatively affect our industry. Any prolonged reductions in such funding could slow innovation, delay collaborations, and limit the adoption of new technologies that contribute to our business growth. If these or similar policy changes continue or expand, we may face increased costs. Although we cannot predict the full extent of these impacts, any prolonged disruption could adversely affect our business, financial condition, and results of operations.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Financial Condition and Need for Additional Capital</w:t>
      </w:r>
    </w:p>
    <w:p>
      <w:pPr>
        <w:spacing w:after="0" w:line="285"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will need substantial additional capital to fund our operations, including to commercialize Anaphylm if approved and begin making quarterly principal payments on our 13.5% Notes starting in June 2026, unless we are able to refinance or amend their terms. This additional capital may not be available on acceptable terms, if at all.</w:t>
      </w: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Our cash requirements for 2026 and beyond include expenses related to continuing development and clinical evaluation of our products, manufacture and supply costs, costs of regulatory filings, patent prosecution expenses and litigation expenses, expenses related to commercialization of our products, including the substantial costs of commercializing Anaphylm if approved by the FDA, begin making quarterly principal payments on our 13.5% Notes, as well as costs to comply with the requirements of being a public company operating in a highly regulated industry. As of December 31, 2025, we had $121,169 of cash and cash equivalents. While we currently have significant cash and cash equivalents, successful commercialization of Anaphylm, if approved, and making quarterly principal payments on our 13.5% Notes will require substantial additional capital to fund the costs of launching and maintain a commercial infrastructure, including sales force development and deployment, marketing programs distribution networks and ongoing post-approval regulatory obligations.</w:t>
      </w:r>
    </w:p>
    <w:p>
      <w:pPr>
        <w:spacing w:after="0" w:line="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Capital may be available under our ATM facility, which we initially established in 2019, and under which, from time to time, we may offer and sell shares of our Common Stock pursuant to the Amended Equity Distribution Agreement with Piper Sandler &amp; Co.. On April 3, 2024, we filed a new shelf registration statement on Form S-3 (the "2024 Registration Statement"), which was declared effective by the SEC on April 23, 2024. Included in the 2024 Registration Statement are: (i) a base prospectus registering the offer, issuance and sale of up to $25 million worth of Common Stock, preferred stock, debt securities, warrants, rights and units and (ii) the $100 million ATM facility prospectus. The remaining authorized balance of the ATM facility was $78 million as of December 31, 2025.</w:t>
      </w:r>
    </w:p>
    <w:p>
      <w:pPr>
        <w:spacing w:after="0" w:line="16"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On November 1, 2023, we reduced our debt payment obligations when we issued (the “Offering”) $45 million aggregate principal amount of our 13.5% Notes. A portion of the net proceeds from the Offering was used to redeem all of the outstanding 12.5% Notes and to pay expenses relating to the Offering, with the balance of the proceeds to be used for general corporate purposes. Interest on the 13.5% Notes accrues at a rate of 13.5% per annum and is payable quarterly in arrears on March 30, June 30, September 30 and December 30 of each year (each, a “Payment Date”). The 13.5% Notes are interest only until June 30, 2026, whereupon on such date and each Payment Date thereafter, we will also pay an installment of principal of the 13.5% Notes pursuant to a fixed amortization schedule, along with a portion of an Exit Fee determined as of the applicable date of prepayment, payment, acceleration, repurchase or redemption, as the case may be. These quarterly principal payments beginning in June 2026 will significantly reduce our available cash unless we are able to successfully refinance or renegotiate the terms of our debt obligations. There can be no assurance that any such refinancing or amendment will be available on terms acceptable to us, or at all, and the commencement of these payments would materially impact our liquidity and ability to fund our operations and commercialization activities.</w:t>
      </w:r>
    </w:p>
    <w:p>
      <w:pPr>
        <w:spacing w:after="0" w:line="2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Until we become profitable, if ever, we expect to need to raise significant additional capital in the future through equity or debt issuances, or both, to continue to manage our expenses to extend our capital runway, in order to further the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9" w:name="page40"/>
    <w:bookmarkEnd w:id="39"/>
    <w:p>
      <w:pPr>
        <w:jc w:val="both"/>
        <w:spacing w:after="0" w:line="254" w:lineRule="auto"/>
        <w:rPr>
          <w:sz w:val="20"/>
          <w:szCs w:val="20"/>
          <w:color w:val="auto"/>
        </w:rPr>
      </w:pPr>
      <w:r>
        <w:rPr>
          <w:rFonts w:ascii="Times New Roman" w:cs="Times New Roman" w:eastAsia="Times New Roman" w:hAnsi="Times New Roman"/>
          <w:sz w:val="14"/>
          <w:szCs w:val="14"/>
          <w:color w:val="auto"/>
        </w:rPr>
        <w:t>development, and regulatory approval of our products and product candidates, to fund the commercialization of Anaphylm if approved, and to conduct our business. The capital required to successfully commercialize Anaphylm, if approved, is expected to be substantial and will likely significantly exceed our current cash reserves requiring us to obtain additional financing. We have no committed sources of additional capital, and there can be no assurance that such needed capital or debt financing will be available or available on favorable terms, or at all. We may seek to obtain additional capital in the future through the issuance of our Common Stock, through other public or private equity or debt financings, through potential non-dilutive capital raising events that may result from royalty streams that may be realizable from our licensed products or licensed intellectual property, through collaborations or licensing arrangements with other companies, and through the sale of assets, including product, product candidates, plants or other tangible assets, or by other means, if available. We may not be able to raise additional capital or other funding on terms acceptable to us, or at all, and any failure to raise capital as and when needed could compromise our ability to execute on our business plan and cause us to delay or curtail our operations until such funding is received. To the extent that we raise additional funds by issuance of equity securities, our stockholders would experience dilution, and debt financings, if available (and subject to all of the existing restrictions and conditions under our debt instruments) may involve increased restrictive covenants and increased fixed payments or may otherwise further constrain our financial flexibility. We also may seek outlicensing opportunities for our proprietary products and product candidate programs that we currently plan to self-commercialize, including for Libervant and Anaphylm, or explore other potential liquidity options or strategic opportunities. Such strategic opportunities could include asset sales, outlicensing or other monetization opportunities of our proprietary products and product candidates, including Libervant and Anaphylm, although we cannot assure that any of these actions or opportunities would be available or available on available on terms acceptable to us. While an outlicensing of our proprietary products and product candidates, if approved by the FDA, could limit our exposure to the costs of commercialization of the product and provide a potential source of royalty and milestone revenues, the benefit from the potential of additional future value that could result from our independent commercialization of these products and product candidates, assuming a successful launch of our proprietary products and product candidates, if approved by the FDA, would likely be limited. To the extent that we raise additional funds through collaborative or licensing arrangements, it may be necessary to relinquish some rights to our intellectual property or grant licenses on terms that are not favorable to us. In addition, payments made by potential collaborators or licensees generally will depend upon our achievement of negotiated development, regulatory and sales milestones. Failure to achieve these milestones may harm our future capital position. In addition, in the event of any such asset sales or outlicensing transactions, the future growth of the Company would be dependent on continued successful development of our early stage product candidates and/or asset acquisitions or other strategic transactions for the Company.</w:t>
      </w:r>
    </w:p>
    <w:p>
      <w:pPr>
        <w:spacing w:after="0" w:line="3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If adequate funds are not available for our liquidity needs and cash requirements, as and when needed, from the sources referred to above or otherwise, or at all, we would be required to engage in expense management activities such as reducing staff, delaying, significantly scaling back, or even discontinuing some or all of our current or planned R&amp;D programs and clinical and other product development activities, or reducing our future commercialization efforts and otherwise significantly reducing our other spending and adjusting our operating plan, and we would need to seek to take other steps intended to improve our liquidity. Our inability to meet our debt obligations could result in an event of default under our 13.5% Notes, which could lead to acceleration of all amounts due. We also may be required to evaluate additional licensing opportunities, if any become available, of our proprietary product candidate programs that we currently plan to self-commercialize or explore other potential liquidity opportunities or other alternatives or options or strategic alternatives, including asset sales, although we cannot assure that any of these actions would be available or available on reasonable terms. If we do not have sufficient funds to continue operations, we could be required to seek bankruptcy protection or other alternatives that would likely result in our stockholders losing most, if not all, of their investment in Aquestive.</w:t>
      </w:r>
    </w:p>
    <w:p>
      <w:pPr>
        <w:spacing w:after="0" w:line="19"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have incurred significant losses since our inception and anticipate that we will continue to incur significant losses for the foreseeable future and may never achieve or maintain profitability.</w:t>
      </w: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Some of our product candidates will require substantial additional development time and resources before we are able to receive regulatory approvals, implement commercialization infrastructure and strategies, or license product out to begin generating revenue from product sales or royalty streams. Our current product candidates are still in their early stages, and we may not generate substantial revenue from sales or royalties of our product candidates in the near term, if ever.</w:t>
      </w:r>
    </w:p>
    <w:p>
      <w:pPr>
        <w:spacing w:after="0" w:line="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have devoted most of our financial resources to product development. To date, we have financed our operations primarily through the sale of equity and debt securities, proceeds from our debt facilities, and from revenues from certain product licenses and collaborations. The extent of future net losses will depend, in part, on the rate of future expenditures and our ability to generate revenue.</w:t>
      </w:r>
    </w:p>
    <w:p>
      <w:pPr>
        <w:spacing w:after="0" w:line="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development, regulatory approval process, and commercialization of drug candidates involve significant risk and significant uncertainty, including matters over which we have no control. Because of the numerous risks and uncertainties associated with pharmaceutical product development, we are unable to fully predict the timing or amount of our expenses. We expect to incur substantial expenses going forward, which we expect will increase as we expand our development activities and product portfolio. Some of the expenses we expect to incur going forward include:</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40" w:name="page41"/>
    <w:bookmarkEnd w:id="40"/>
    <w:p>
      <w:pPr>
        <w:ind w:left="760" w:hanging="246"/>
        <w:spacing w:after="0"/>
        <w:tabs>
          <w:tab w:leader="none" w:pos="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conducting clinical trials of our product candidates;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seeking regulatory approval for any of our product candidates that successfully complete clinical development;</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expanding and protecting our intellectual property portfolio;</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acquiring or in-licensing new technologies or development-stage or approved products;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activities related to pre-commercialization and commercialization of products;</w:t>
      </w:r>
    </w:p>
    <w:p>
      <w:pPr>
        <w:spacing w:after="0" w:line="51" w:lineRule="exact"/>
        <w:rPr>
          <w:rFonts w:ascii="Times New Roman" w:cs="Times New Roman" w:eastAsia="Times New Roman" w:hAnsi="Times New Roman"/>
          <w:sz w:val="14"/>
          <w:szCs w:val="14"/>
          <w:color w:val="auto"/>
        </w:rPr>
      </w:pPr>
    </w:p>
    <w:p>
      <w:pPr>
        <w:ind w:left="760" w:hanging="246"/>
        <w:spacing w:after="0" w:line="284" w:lineRule="auto"/>
        <w:tabs>
          <w:tab w:leader="none" w:pos="75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adding clinical, scientific, operational, financial, and management information systems personnel, including personnel to support our product development and to support our operations as a public company; and</w:t>
      </w:r>
    </w:p>
    <w:p>
      <w:pPr>
        <w:ind w:left="760" w:hanging="246"/>
        <w:spacing w:after="0" w:line="284" w:lineRule="auto"/>
        <w:tabs>
          <w:tab w:leader="none" w:pos="75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experiencing incremental costs due to delays or encountering any issues with any of the above, including, but not limited to, failed or not fully successful trials, complex results, safety issues or other regulatory challenges.</w:t>
      </w:r>
    </w:p>
    <w:p>
      <w:pPr>
        <w:spacing w:after="0" w:line="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expect to continue to incur net losses for at least the next few years as we pursue the development efforts and commercialization of our product candidates. Our net losses may fluctuate significantly from period to period, depending on regulatory approval developments concerning our product candidates, the timing of our planned clinical trials and expenditures on our other R&amp;D. We expect our expenses will continue to be substantial in 2026 and future periods as we continue to:</w:t>
      </w:r>
    </w:p>
    <w:p>
      <w:pPr>
        <w:spacing w:after="0" w:line="8" w:lineRule="exact"/>
        <w:rPr>
          <w:sz w:val="20"/>
          <w:szCs w:val="20"/>
          <w:color w:val="auto"/>
        </w:rPr>
      </w:pPr>
    </w:p>
    <w:p>
      <w:pPr>
        <w:ind w:left="760" w:hanging="246"/>
        <w:spacing w:after="0" w:line="284" w:lineRule="auto"/>
        <w:tabs>
          <w:tab w:leader="none" w:pos="75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clinically develop Anaphylm and provide supporting data needed for market approval from the FDA, anticipated amended NDA submission, pre-commercialization preparations including manufacturing and regulatory inspections and commercialization activities;</w:t>
      </w:r>
    </w:p>
    <w:p>
      <w:pPr>
        <w:ind w:left="760" w:hanging="246"/>
        <w:spacing w:after="0"/>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licensing and other transactions of our product candidates;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R&amp;D of the Adrenaverse technology to support the future pipeline of product candidates; and</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development of our product candidate AQST-108.</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expect to continue to manage the timing and level of expenses in light of the declining Suboxone revenues, while focusing on the development and commercialization of Anaphylm.</w:t>
      </w:r>
    </w:p>
    <w:p>
      <w:pPr>
        <w:spacing w:after="0" w:line="49"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may sell additional equity, incur debt or raise funds through licensing arrangements to fund our operations, which may result in dilution to our stockholders, impose restrictions on our business or require us to relinquish proprietary rights.</w:t>
      </w:r>
    </w:p>
    <w:p>
      <w:pPr>
        <w:jc w:val="both"/>
        <w:ind w:firstLine="509"/>
        <w:spacing w:after="0" w:line="284" w:lineRule="auto"/>
        <w:rPr>
          <w:sz w:val="20"/>
          <w:szCs w:val="20"/>
          <w:color w:val="auto"/>
        </w:rPr>
      </w:pPr>
      <w:r>
        <w:rPr>
          <w:rFonts w:ascii="Times New Roman" w:cs="Times New Roman" w:eastAsia="Times New Roman" w:hAnsi="Times New Roman"/>
          <w:sz w:val="14"/>
          <w:szCs w:val="14"/>
          <w:color w:val="auto"/>
        </w:rPr>
        <w:t>Aquestive has experienced a history of net losses and our accumulated deficits totaled $446,998 as of December 31, 2025. The net losses and accumulated deficits were partially offset by gross margins from sales of commercialized licensed and proprietary products, license fees, milestone and royalty payments from commercial licensees and co-development parties.</w:t>
      </w:r>
    </w:p>
    <w:p>
      <w:pPr>
        <w:spacing w:after="0" w:line="1"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4"/>
          <w:szCs w:val="14"/>
          <w:color w:val="auto"/>
        </w:rPr>
        <w:t>In November 2020, we began utilizing the ATM facility. For the year ended December 31, 2025, we sold 7,457,627 shares which provided net proceeds of approximately $21,229, after deducting commissions and other transaction costs of $771.</w:t>
      </w:r>
    </w:p>
    <w:p>
      <w:pPr>
        <w:spacing w:after="0" w:line="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On April 3, 2024, we filed the "2024 Registration Statement", which was declared effective by the SEC on April 23, 2024. Included as part of the 2024 Registration Statement are: (i) a base prospectus registering the offer, issuance and sale of up to $250,000 worth of Common Stock, preferred stock, debt securities, warrants, rights and units and (ii) the $100,000 ATM facility prospectus. The remaining authorized balance of the ATM facility was $78,000 as of December 31, 2025.</w:t>
      </w:r>
    </w:p>
    <w:p>
      <w:pPr>
        <w:spacing w:after="0" w:line="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4"/>
          <w:szCs w:val="14"/>
          <w:color w:val="auto"/>
        </w:rPr>
        <w:t>Until such time, if ever, that we can generate sufficient revenue to fully fund our operations, we would need to seek additional capital and cash resources through public or private equity or debt financings, third-party funding, marketing and distribution arrangements, as well as other collaborations, strategic alliances and licensing arrangements, or any combination of these approaches. In addition, if the RTW Purchase Agreement goes into effect upon approval of Anaphylm by the FDA, the refinancing of our 13.5% Notes and satisfaction of certain other customary conditions, we would be required to make tiered revenue share payments to the Purchaser ranging from 7.5% to 1.0% of net sales (and 9.5% for subsequent calendar year periods if net sales do not achieve specified levels beginning in 2027) in the United States until the Purchaser receives $187.5 million by December 31, 2035 or $225 million thereafter. Similar to the Royalty Rights Agreements we entered into in connection with our 13.5% Notes, these revenue share payments would reduce the net revenues we realize from sales of Anaphylm and could materially impact our cash flows and ability to fund our operations and other development activities. To the extent that we raise additional capital through the sale of equity or convertible debt securities, the stockholders' existing ownership interest will be diluted, and the terms may include liquidation or other preferences that adversely affect the rights of existing stockholders. Debt financings may be coupled with an equity component, such as warrants to purchase shares of our common stock, which could also result in dilution of existing stockholders’ ownership. The incurrence of additional indebtedness would result in increased fixed payment obligations and could also result in certain increased restrictive covenants (most, if not all, of which currently exist under our existing debt facilities), such as limitations on our ability to incur additional debt, limitations on our ability to acquire or license intellectual property rights or sell assets, and other operating restrictions that could adversely impact our ability to conduct our business and continue to result in liens being placed on all of our assets and intellectual property. If we were to default on such indebtedness, we could lose all such assets and intellectual property and our ability to operate our business.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1" w:name="page42"/>
    <w:bookmarkEnd w:id="41"/>
    <w:p>
      <w:pPr>
        <w:ind w:firstLine="509"/>
        <w:spacing w:after="0" w:line="283" w:lineRule="auto"/>
        <w:rPr>
          <w:sz w:val="20"/>
          <w:szCs w:val="20"/>
          <w:color w:val="auto"/>
        </w:rPr>
      </w:pPr>
      <w:r>
        <w:rPr>
          <w:rFonts w:ascii="Times New Roman" w:cs="Times New Roman" w:eastAsia="Times New Roman" w:hAnsi="Times New Roman"/>
          <w:sz w:val="14"/>
          <w:szCs w:val="14"/>
          <w:color w:val="auto"/>
        </w:rPr>
        <w:t>If we raise additional funds through collaborations, or strategic alliance, marketing, distribution or licensing arrangements with third parties, we may need to relinquish valuable rights to our technologies, product candidates or future revenue streams or grant licenses on terms that are not favorable to us.</w:t>
      </w:r>
    </w:p>
    <w:p>
      <w:pPr>
        <w:ind w:firstLine="255"/>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Even if we can generate revenues from our operations in the future, our revenues and operating income are likely to fluctuate significantly from year-to-year or quarter-to-quarter and create volatility in our stock price.</w:t>
      </w:r>
    </w:p>
    <w:p>
      <w:pPr>
        <w:ind w:firstLine="509"/>
        <w:spacing w:after="0" w:line="284" w:lineRule="auto"/>
        <w:rPr>
          <w:sz w:val="20"/>
          <w:szCs w:val="20"/>
          <w:color w:val="auto"/>
        </w:rPr>
      </w:pPr>
      <w:r>
        <w:rPr>
          <w:rFonts w:ascii="Times New Roman" w:cs="Times New Roman" w:eastAsia="Times New Roman" w:hAnsi="Times New Roman"/>
          <w:sz w:val="14"/>
          <w:szCs w:val="14"/>
          <w:color w:val="auto"/>
        </w:rPr>
        <w:t>Even if we are able to generate future revenues, our results of operations would likely continue to vary significantly from year-to-year and quarter-to-quarter. Variations may result from, among other factors:</w:t>
      </w:r>
    </w:p>
    <w:p>
      <w:pPr>
        <w:spacing w:after="0" w:line="1" w:lineRule="exact"/>
        <w:rPr>
          <w:sz w:val="20"/>
          <w:szCs w:val="20"/>
          <w:color w:val="auto"/>
        </w:rPr>
      </w:pPr>
    </w:p>
    <w:p>
      <w:pPr>
        <w:ind w:left="760" w:hanging="246"/>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FDA or any other regulatory approval, delay in any FDA or other regulatory approvals, or failure to obtain any such FDA or other regulatory approvals;</w:t>
      </w:r>
    </w:p>
    <w:p>
      <w:pPr>
        <w:spacing w:after="0" w:line="51" w:lineRule="exact"/>
        <w:rPr>
          <w:rFonts w:ascii="Times New Roman" w:cs="Times New Roman" w:eastAsia="Times New Roman" w:hAnsi="Times New Roman"/>
          <w:sz w:val="14"/>
          <w:szCs w:val="14"/>
          <w:color w:val="auto"/>
        </w:rPr>
      </w:pPr>
    </w:p>
    <w:p>
      <w:pPr>
        <w:ind w:left="760" w:hanging="246"/>
        <w:spacing w:after="0" w:line="284" w:lineRule="auto"/>
        <w:tabs>
          <w:tab w:leader="none" w:pos="75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competitor’s product candidates obtaining FDA or other regulatory approval, which may include orphan drug market exclusivity for seven years in the U.S., before our product has received any such regulatory approval and/or orphan drug exclusivity, or obtaining other FDA marketing exclusivity that blocks U.S. market access for our product candidates;</w:t>
      </w:r>
    </w:p>
    <w:p>
      <w:pPr>
        <w:ind w:left="760" w:hanging="246"/>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process validation for particular product candidates;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addressing issues raised in the CRL and collecting the human factors and clinical data required to obtain FDA approval of Anaphylm and delays as a result thereof;</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timing of and the amount we spend to research, develop, acquire, license or promote new product candidates;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amount we spend on, and outcome of our research, development, preclinical studies and clinical trial programs;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serious or unexpected health or safety concerns related to our products or product candidates;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introduction of new branded and generic products by others that render our product candidates obsolete, subject to greater competition or noncompetitive;</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selling prices and gross margins on our products;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coverage and reimbursement policies of health plans and other health insurers, including changes to Medicare, Medicaid and similar government healthcare programs;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complex governmental regulations applicable to many aspects of our business;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the cost of raw materials used to manufacture our products and product candidates;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manufacturing and supply interruptions, including product rejections or recalls due to failure to comply with manufacturing specifications or current Good Manufacturing Practices;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of revenue recognition related to our collaboration agreements;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fund the commercialization of, commence a commercial operation, and actually commercialize our proprietary products and product candidates, if approved by the FDA;</w:t>
      </w:r>
    </w:p>
    <w:p>
      <w:pPr>
        <w:spacing w:after="0" w:line="51" w:lineRule="exact"/>
        <w:rPr>
          <w:rFonts w:ascii="Times New Roman" w:cs="Times New Roman" w:eastAsia="Times New Roman" w:hAnsi="Times New Roman"/>
          <w:sz w:val="14"/>
          <w:szCs w:val="14"/>
          <w:color w:val="auto"/>
        </w:rPr>
      </w:pPr>
    </w:p>
    <w:p>
      <w:pPr>
        <w:ind w:left="760" w:hanging="246"/>
        <w:spacing w:after="0" w:line="284" w:lineRule="auto"/>
        <w:tabs>
          <w:tab w:leader="none" w:pos="75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and the significant cost to protect our intellectual property and avoid infringing the intellectual property of others and any adverse developments in any related legal proceeding or in other legal proceedings of any nature; and</w:t>
      </w:r>
    </w:p>
    <w:p>
      <w:pPr>
        <w:ind w:left="760" w:hanging="246"/>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and cost of existing or possible future litigation with third parties.</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Our level of indebtedness and significant debt service obligations could constrain our ability to invest in our business and make it more difficult for us to fund our operations.</w:t>
      </w:r>
    </w:p>
    <w:p>
      <w:pPr>
        <w:spacing w:after="0" w:line="4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We have substantial debt and substantial debt service obligations. At December 31, 2025, we had an aggregate principal amount of $45,000 of outstanding indebtedness, represented by the 13.5% Notes. In the future, we will need to raise additional funds. Commencing in June 2026, we will be required to commence making principal payments on the 13.5% Notes unless they are refinanced or amended.</w:t>
      </w:r>
    </w:p>
    <w:p>
      <w:pPr>
        <w:spacing w:after="0" w:line="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Because of our indebtedness:</w:t>
      </w:r>
    </w:p>
    <w:p>
      <w:pPr>
        <w:spacing w:after="0" w:line="51" w:lineRule="exact"/>
        <w:rPr>
          <w:sz w:val="20"/>
          <w:szCs w:val="20"/>
          <w:color w:val="auto"/>
        </w:rPr>
      </w:pPr>
    </w:p>
    <w:p>
      <w:pPr>
        <w:ind w:left="760" w:hanging="246"/>
        <w:spacing w:after="0"/>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have difficulty satisfying our obligations with respect to our existing indebtedness including the repayment of such indebtedness;</w:t>
      </w:r>
    </w:p>
    <w:p>
      <w:pPr>
        <w:spacing w:after="0" w:line="51" w:lineRule="exact"/>
        <w:rPr>
          <w:rFonts w:ascii="Times New Roman" w:cs="Times New Roman" w:eastAsia="Times New Roman" w:hAnsi="Times New Roman"/>
          <w:sz w:val="14"/>
          <w:szCs w:val="14"/>
          <w:color w:val="auto"/>
        </w:rPr>
      </w:pPr>
    </w:p>
    <w:p>
      <w:pPr>
        <w:ind w:left="760" w:hanging="246"/>
        <w:spacing w:after="0" w:line="284" w:lineRule="auto"/>
        <w:tabs>
          <w:tab w:leader="none" w:pos="75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have difficulty obtaining financing in the future (and we have substantial restrictions on incurring any additional indebtedness under our current debt instruments) for working capital, capital expenditures, acquisitions or other purposes;</w:t>
      </w:r>
    </w:p>
    <w:p>
      <w:pPr>
        <w:ind w:left="760" w:hanging="246"/>
        <w:spacing w:after="0" w:line="284" w:lineRule="auto"/>
        <w:tabs>
          <w:tab w:leader="none" w:pos="75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need to use a substantial portion of our available cash flow to pay interest and principal on our debt, which will reduce the amount of money available to finance our operations and other business activities;</w:t>
      </w:r>
    </w:p>
    <w:p>
      <w:pPr>
        <w:ind w:left="760" w:hanging="246"/>
        <w:spacing w:after="0"/>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more vulnerable to general economic downturns and adverse industry conditions;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2" w:name="page43"/>
    <w:bookmarkEnd w:id="42"/>
    <w:p>
      <w:pPr>
        <w:ind w:left="760" w:hanging="246"/>
        <w:spacing w:after="0" w:line="284" w:lineRule="auto"/>
        <w:tabs>
          <w:tab w:leader="none" w:pos="75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cash flow from revenues from licensed product or collaborative arrangements are insufficient to satisfy our obligations with respect to our existing indebtedness, we may be forced to seek to sell assets (subject to obtaining consent under the Indenture Agreement) or seek additional capital, which we may not be able to accomplish on favorable terms, if at all;</w:t>
      </w:r>
    </w:p>
    <w:p>
      <w:pPr>
        <w:ind w:left="760" w:hanging="246"/>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be limited in our flexibility in planning for, or reacting to, changes in our business and in our industry in general;</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be placed at a competitive disadvantage compared to our competitors that have less debt, less debt restriction or less restrictive debt covenants;</w:t>
      </w:r>
    </w:p>
    <w:p>
      <w:pPr>
        <w:spacing w:after="0" w:line="51" w:lineRule="exact"/>
        <w:rPr>
          <w:rFonts w:ascii="Times New Roman" w:cs="Times New Roman" w:eastAsia="Times New Roman" w:hAnsi="Times New Roman"/>
          <w:sz w:val="14"/>
          <w:szCs w:val="14"/>
          <w:color w:val="auto"/>
        </w:rPr>
      </w:pPr>
    </w:p>
    <w:p>
      <w:pPr>
        <w:ind w:left="760" w:hanging="246"/>
        <w:spacing w:after="0" w:line="284" w:lineRule="auto"/>
        <w:tabs>
          <w:tab w:leader="none" w:pos="75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comply with the financial and other restrictive covenants in our debt instruments which, among other things, limits our ability to incur additional debt and sell or dispose of assets, could result in an event of default that, if not cured or waived, would have a material adverse effect on our business or prospects; and</w:t>
      </w:r>
    </w:p>
    <w:p>
      <w:pPr>
        <w:ind w:left="760" w:hanging="246"/>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tangible and intangible assets, including our intellectual property, are subject to first priority liens and may be used to satisfy our outstanding debt.</w:t>
      </w:r>
    </w:p>
    <w:p>
      <w:pPr>
        <w:spacing w:after="0" w:line="5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intend to satisfy our current and future debt service obligations with our existing cash and cash equivalents and potential access to other funding. However, we may not have sufficient funds, and may be unable to arrange for additional financing, to pay the amounts due under the Indenture Agreement and 13.5% Notes or any other debt instruments we may enter into. Failure to make required debt service payments or comply with other covenants under our existing debt facilities or such other debt instruments would result in an event of default and acceleration of amounts due, which would have a material adverse effect on our business, financial condition and results of operations.</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We are dependent upon the commercial success of our licensed and proprietary products and other licensing activities to generate revenue for the near future.</w:t>
      </w:r>
    </w:p>
    <w:p>
      <w:pPr>
        <w:spacing w:after="0" w:line="53"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Although we are in the process of testing and developing proprietary product candidates and may seek to acquire rights in other approved drugs, we anticipate that our ability to generate revenue and to become profitable in the near future will depend upon the continued commercial success of Sympazan, Suboxone and Azstarys in the U.S., the continued commercial success of Ondif in Brazil and Emylif in the EU. Further, there is no assurance that we will become commercially successful to the extent necessary to become profitable. If our current products are not commercially successful, our ability to generate manufacturing and sale margins and licensing or royalty revenues will be impaired. Without those revenues, our ability to continue planned development initiatives and commercialization efforts would be limited. Due to our dependence on the commercial success of our products, delays or setbacks in the commercial success of any of these products would likely materially adversely affect our business, prospects, results and operations and financial consideration.</w:t>
      </w:r>
    </w:p>
    <w:p>
      <w:pPr>
        <w:spacing w:after="0" w:line="17" w:lineRule="exact"/>
        <w:rPr>
          <w:sz w:val="20"/>
          <w:szCs w:val="20"/>
          <w:color w:val="auto"/>
        </w:rPr>
      </w:pPr>
    </w:p>
    <w:p>
      <w:pPr>
        <w:ind w:right="20" w:firstLine="255"/>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A substantial portion of our revenues is derived from a single customer and license and any loss or material reduction in revenues from such significant customer would adversely affect our business.</w:t>
      </w: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Historically, a substantial portion of our revenues in each quarter and year has been derived from a single customer and this trend is expected to continue while we continue to develop, seek regulatory approval of and seek to commercialize our proprietary products and product candidates. If revenues from such key customer were to decline significantly, it would materially adversely affect our business, financial condition and results of operations. Indivior accounted for approximately 73% and 62% of our revenues for 2025 and 2024, respectively, and we believe in the future will continue to account for a substantial part of our revenues.</w:t>
      </w:r>
    </w:p>
    <w:p>
      <w:pPr>
        <w:spacing w:after="0" w:line="1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Further, the Indivior License Agreement under which we manufacture and supply Suboxone to Indivior on an exclusive basis, may be terminated should certain causes or events occur. For example, either party to the Indivior License Agreement may terminate the relationship in connection with a material breach by the other party of its contractual obligations. Indivior may also terminate the Indivior License Agreement if the FDA or other applicable regulatory authority declares our manufacturing site to no longer be suitable for the manufacture of Suboxone or Suboxone is no longer suitable to be manufactured due to health or safety reasons. In addition, the Indivior Licensing Agreement currently has a one-year term, subject to automatic one-year renewals unless either party provides the other party with twelve months’ prior notice of non-renewal. As a result, there can be no assurance that either party will not terminate the Indivior License Agreement either due to any future breach of obligation, other termination cause or event, or notice of non-renewal. Any such termination would have a material adverse impact on our business, results of operations, capital position and prospects.</w:t>
      </w:r>
    </w:p>
    <w:p>
      <w:pPr>
        <w:spacing w:after="0" w:line="19" w:lineRule="exact"/>
        <w:rPr>
          <w:sz w:val="20"/>
          <w:szCs w:val="20"/>
          <w:color w:val="auto"/>
        </w:rPr>
      </w:pPr>
    </w:p>
    <w:p>
      <w:pPr>
        <w:ind w:left="60" w:firstLine="446"/>
        <w:spacing w:after="0" w:line="284" w:lineRule="auto"/>
        <w:rPr>
          <w:sz w:val="20"/>
          <w:szCs w:val="20"/>
          <w:color w:val="auto"/>
        </w:rPr>
      </w:pPr>
      <w:r>
        <w:rPr>
          <w:rFonts w:ascii="Times New Roman" w:cs="Times New Roman" w:eastAsia="Times New Roman" w:hAnsi="Times New Roman"/>
          <w:sz w:val="14"/>
          <w:szCs w:val="14"/>
          <w:color w:val="auto"/>
        </w:rPr>
        <w:t>Although Suboxone has continued to retain meaningful market share, we expect erosion of this sunsetting branded product over time, which will further affect our total revenues and our results from operations.</w:t>
      </w:r>
    </w:p>
    <w:p>
      <w:pPr>
        <w:spacing w:after="0" w:line="1"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Indivior is a party to a number of lawsuits alleging product liability complaints and seeking a monetary relief. We cannot assess whether this settlement and disposition will have a material adverse financial impact on our business, prospects, liquidity, financial condition and operating results.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color w:val="auto"/>
        </w:rPr>
        <w:t>Risks Related to Our Reliance on Third Parties</w:t>
      </w:r>
    </w:p>
    <w:p>
      <w:pPr>
        <w:spacing w:after="0" w:line="51"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rely on third parties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w:t>
      </w:r>
    </w:p>
    <w:p>
      <w:pPr>
        <w:jc w:val="both"/>
        <w:ind w:firstLine="509"/>
        <w:spacing w:after="0" w:line="256" w:lineRule="auto"/>
        <w:rPr>
          <w:sz w:val="20"/>
          <w:szCs w:val="20"/>
          <w:color w:val="auto"/>
        </w:rPr>
      </w:pPr>
      <w:r>
        <w:rPr>
          <w:rFonts w:ascii="Times New Roman" w:cs="Times New Roman" w:eastAsia="Times New Roman" w:hAnsi="Times New Roman"/>
          <w:sz w:val="14"/>
          <w:szCs w:val="14"/>
          <w:color w:val="auto"/>
        </w:rPr>
        <w:t>We have relied upon and plan to continue to rely upon third-party CROs to monitor and manage data for our preclinical and clinical programs. We rely on these parties for execution of our preclinical studies and clinical trials, and control only certain aspects of their activities. Nevertheless, we are responsible for ensuring that each of our trials is conducted in accordance with the applicable protocol, legal, regulatory and scientific standards and our reliance on the CROs does not relieve us of our regulatory responsibilities. We and our CROs are required to comply with FDA laws and regulations regarding current good clinical practice, or GCP, which are also required by the Competent Authorities of the Member States of the European Economic Area and comparable foreign regulatory authorities in the form of International Conference on Harmonization, or ICH, guidelines for all of our products in clinical development. Regulatory authorities enforce GCP through periodic inspections of trial sponsors, principal investigators and trial sites. If we or any of our CROs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the current cGMP regulations. While we have agreements governing activities of our CROs, we have limited influence over their actual performance. In addition, portions of the clinical trials for our product candidates are expected to be conducted outside of the United States, which will make it more difficult for us to monitor CROs and visit clinical trial sites and will force us to rely heavily on CROs to ensure the proper and timely conduct of our clinical trials and compliance with applicable regulations, including GCP. Failure to comply with applicable regulations in the conduct of the clinical trials for our product candidates may require us to repeat clinical trials, which would delay the regulatory approval process.</w:t>
      </w:r>
    </w:p>
    <w:p>
      <w:pPr>
        <w:spacing w:after="0" w:line="1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Some of our CROs have an ability to terminate their respective agreements with us if, among other reasons, it can be reasonably demonstrated that the safety of the subjects participating in our clinical trials warrants such termination, if we make a general assignment for the benefit of our creditors or if we are liquidated. If any of our relationships with these third-party CROs terminate, we may not be able to enter into arrangements with alternative CROs or to do so on commercially reasonable terms. In addition, our CROs are not our employees, and except for remedies available to us under our agreements with such CROs, we cannot control whether or not they devote sufficient time and resources to our preclinical and 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Consequently, our results of operations and the commercial prospects for our product candidates would be harmed, our costs could increase substantially and our ability to generate revenue could be delayed significantly.</w:t>
      </w:r>
    </w:p>
    <w:p>
      <w:pPr>
        <w:spacing w:after="0" w:line="2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strive to manage our relationships with our CROs, there can be no assurance that we will not encounter challenges or delays in the future or that these delays or challenges will not have a material adverse impact on our business, financial condition and prospects.</w:t>
      </w:r>
    </w:p>
    <w:p>
      <w:pPr>
        <w:spacing w:after="0" w:line="6"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rely on limited sources of supply for our thin film foil, and any disruption in the chain of supply may impact production and sales and cause delay in developing and commercializing our proprietary PharmFilm Technology product candidates.</w:t>
      </w: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We currently have relationships with two third parties for the manufacture of our thin film foil. Because of the unique equipment and process for manufacturing our thin film foil, transferring manufacturing activities for our foil to an alternate supplier would be a time-consuming and costly endeavor, and there are only a limited number of manufacturers that we believe are capable of performing this function for us. Switching thin film foil suppliers may involve substantial cost and could result in a delay in our desired clinical and commercial timelines. If any of our thin film foil manufacturers breach or terminate their agreements with us, we would need to identify an alternative source for the thin film foil manufacture and supply of foil to us for the development and commercialization of the applicable products. Identifying an appropriately qualified source of alternative thin film foil supply for any one or more of these product candidates could be time consuming, and we may not be able to do so without incurring material delays in the development and commercialization of our product candidates, or in satisfying our manufacturing and supply commitments and obligations for our licensed products, which could harm our financial position, the commercial potential for our licensed products and product candidates, and our results of operations, as well as to result in a default in our supply commitments and obligations. Any alternative thin film foil vendor would also need to be qualified through an NDA supplement which could result in further delay. The FDA or other regulatory agencies outside of the United States may also require additional studies if we appoint a new manufacturer for supply of our licensed products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4" w:name="page45"/>
    <w:bookmarkEnd w:id="44"/>
    <w:p>
      <w:pPr>
        <w:jc w:val="both"/>
        <w:spacing w:after="0" w:line="284" w:lineRule="auto"/>
        <w:rPr>
          <w:sz w:val="20"/>
          <w:szCs w:val="20"/>
          <w:color w:val="auto"/>
        </w:rPr>
      </w:pPr>
      <w:r>
        <w:rPr>
          <w:rFonts w:ascii="Times New Roman" w:cs="Times New Roman" w:eastAsia="Times New Roman" w:hAnsi="Times New Roman"/>
          <w:sz w:val="14"/>
          <w:szCs w:val="14"/>
          <w:color w:val="auto"/>
        </w:rPr>
        <w:t>that differs from the manufacturer used for clinical development of such products. For our product candidates, we expect that only one supplier will initially be qualified as a vendor with the FDA. If supply from the approved vendor is interrupted, there could be a significant disruption in our development and supply activities.</w:t>
      </w:r>
    </w:p>
    <w:p>
      <w:pPr>
        <w:spacing w:after="0" w:line="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These factors could cause the delay of clinical trials, regulatory submissions, required approvals or commercialization of our approved products and product candidates, cause us to incur higher costs and prevent successful commercialization of our licensed products and product candidates, if approved. Furthermore, if our suppliers fail to deliver the required commercial quantities of components and active pharmaceutical ingredient on a timely basis and at commercially reasonable prices, and we are unable to secure one or more replacement suppliers capable of production at a substantially equivalent cost, we would likely be in default in our supply obligations, which could result in the termination of our supply agreements, our incurring potential default damages and our loss of significant revenues.</w:t>
      </w:r>
    </w:p>
    <w:p>
      <w:pPr>
        <w:spacing w:after="0" w:line="14" w:lineRule="exact"/>
        <w:rPr>
          <w:sz w:val="20"/>
          <w:szCs w:val="20"/>
          <w:color w:val="auto"/>
        </w:rPr>
      </w:pPr>
    </w:p>
    <w:p>
      <w:pPr>
        <w:jc w:val="both"/>
        <w:ind w:firstLine="287"/>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rely on third parties to manufacture API for our licensed products and product candidates, and we intend to rely on third parties to manufacture the API for other approved products. The commercialization of any of our licensed products and product candidates, if approved, could be stopped, delayed or made less profitable if those third parties fail to provide us with sufficient quantities of API or fail to do so at acceptable quality levels or prices or fail to maintain or achieve satisfactory regulatory compliance.</w:t>
      </w:r>
    </w:p>
    <w:p>
      <w:pPr>
        <w:spacing w:after="0" w:line="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currently rely, and expect to continue to rely, on third parties to manufacture API for our licensed products and our product candidates, and control only certain aspects of their activities.</w:t>
      </w:r>
    </w:p>
    <w:p>
      <w:pPr>
        <w:spacing w:after="0" w:line="51"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Any of these third parties may terminate their engagements with us at any time. If we need to enter into alternative arrangements, it could delay our supply of licensed products, proprietary product candidate programs and commercialization activities. Our reliance on these third parties reduces our control over these activities but does not relieve us of our responsibility to ensure compliance with all required legal, regulatory and scientific standards and any applicable trial protocols or our obligations under our product supply commitments and obligations. If these third parties do not successfully carry out their contractual duties or meet expected deadlines, we will not be able to complete, or may be delayed in completing, clinical trials required to support future regulatory submissions and approval of our product candidates and we would likely be in default in our supply commitments and obligations for our licensed products, which could result in the termination of our supply agreements, our incurring potential default damages and our loss of significant revenues.</w:t>
      </w:r>
    </w:p>
    <w:p>
      <w:pPr>
        <w:spacing w:after="0" w:line="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4"/>
          <w:szCs w:val="14"/>
          <w:color w:val="auto"/>
        </w:rPr>
        <w:t>The facilities used by us, and by our third-party API manufacturers, to manufacture our licensed products and product candidates must maintain a compliance status acceptable to the FDA or other applicable regulatory authorities pursuant to inspections that will be conducted after we submit our NDA to the FDA. If we or any of our third-party API manufacturers cannot successfully manufacture material that conforms to our specifications and the applicable regulatory authorities’ strict regulatory requirements, or pass regulatory inspection, we or they will not be able to secure or maintain regulatory approval for the manufacturing facilities. In addition, we have no control over the ability of third-party API manufacturers to maintain adequate quality control, quality assurance and qualified personnel. Further, as we scale up manufacturing of our product candidates and conduct required stability testing, product, packaging, equipment and process-related issues may require refinement or resolution in order for us to proceed with our planned clinical trials and obtain regulatory approval for commercialization of our product candidates. In the future, for example, we may identify impurities in the product manufactured by us or for us for commercial supply, which could result in increased scrutiny by the regulatory agencies, delays in our clinical program and regulatory approval, increases in our operating expenses, or failure to obtain or maintain approval for our licensed products and product candidates. If the FDA or any other applicable regulatory authority does not approve these facilities for the manufacture of our products or if they withdraw any such approval in the future, or if our suppliers or third-party manufacturers decide they no longer want to manufacture our products, we would need to find alternative manufacturing facilities, which would significantly impact our ability to develop, obtain regulatory approval for or market our product candidates and which could also result in default in our supply commitments and obligations for our licensed products, our incurring potential default damages and our loss of significant revenues.</w:t>
      </w:r>
    </w:p>
    <w:p>
      <w:pPr>
        <w:spacing w:after="0" w:line="19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More generally, we and our API manufacturers of pharmaceutical products, may often encounter difficulties in production, particularly in scaling up and validating initial production. These problems include difficulties with production costs and yields, quality control, including stability of the product, quality assurance testing, shortages of qualified personnel, as well as compliance with strictly enforced federal, state and foreign regulations. Additionally, we and our API manufacturers may experience manufacturing difficulties due to resource constraints or as a result of labor disputes or unstable political environments, such as recent events in Ukraine and Russia, or other geopolitical uncertainty. If we or our manufacturers were to encounter any of these difficulties, or otherwise fail to comply with their contractual obligations, our ability to manufacture our products, or to make our product candidates available for clinical trials and development purposes or to further commercialize any of our licensed products and product candidates in the United States, would be jeopardized. Any delay or interruption in our ability to meet commercial demand may result in the loss of significant potential revenues and could adversely affect our ability to gain market acceptance for approved products as well as a potential default of our supply commitments or obligations. In addition, any delay or interruption in the supply of clinical trial supplies could delay the completion of clinical trials, increase the costs associated with maintaining clinical trial programs and, depending upon the period of delay, require us to commence</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5" w:name="page46"/>
    <w:bookmarkEnd w:id="45"/>
    <w:p>
      <w:pPr>
        <w:jc w:val="both"/>
        <w:spacing w:after="0" w:line="270" w:lineRule="auto"/>
        <w:rPr>
          <w:sz w:val="20"/>
          <w:szCs w:val="20"/>
          <w:color w:val="auto"/>
        </w:rPr>
      </w:pPr>
      <w:r>
        <w:rPr>
          <w:rFonts w:ascii="Times New Roman" w:cs="Times New Roman" w:eastAsia="Times New Roman" w:hAnsi="Times New Roman"/>
          <w:sz w:val="14"/>
          <w:szCs w:val="14"/>
          <w:color w:val="auto"/>
        </w:rPr>
        <w:t>new clinical trials at additional expense or terminate clinical trials completely. Additionally, if supply from one approved API manufacturer is interrupted, there could be a significant disruption in commercial supply. Regulatory agencies may also require additional studies if a new manufacturer is relied upon for commercial production. Switching manufacturers may involve substantial costs and would likely result in a delay in our desired clinical and commercial timelines and disrupt our supply commitment and obligations.</w:t>
      </w:r>
    </w:p>
    <w:p>
      <w:pPr>
        <w:spacing w:after="0" w:line="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occurrence of any of these factors could have a material adverse effect on our business, results of operations, financial condition and prospects.</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The design, development, manufacture, supply, and distribution of our licensed products and our product candidates is highly regulated and technically complex.</w:t>
      </w:r>
    </w:p>
    <w:p>
      <w:pPr>
        <w:spacing w:after="0" w:line="53"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All entities involved in the preparation of therapeutics for clinical trials or commercial sale are subject to extensive regulation. Components of a finished therapeutic product approved for commercial sale or used in late-stage clinical trials must be manufactured in accordance with cGMP and equivalent foreign standards.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The development, manufacture, supply, and distribution of our products and our product candidates is highly regulated and technically complex. We, along with our third-party providers, must comply with all applicable regulatory requirements of the FDA and foreign authorities.</w:t>
      </w:r>
    </w:p>
    <w:p>
      <w:pPr>
        <w:spacing w:after="0" w:line="1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We, or our API and component manufacturers, must supply all necessary documentation in support of our regulatory filings for our product candidates on a timely basis and must adhere to the FDA’s GLP and cGMP regulations enforced by the FDA through its facilities inspection program, and the equivalent standards of the regulatory authorities in other countries. Any failure by us or by our third-party API or component manufacturers to comply with cGMP or failure to scale-up manufacturing processes, including any failure to deliver sufficient quantities of product candidates in a timely manner, could lead to a delay in, or failure to obtain, regulatory approval of any of our product candidates. Our facilities and quality systems and the facilities and quality systems of some or all of our third-party API and component manufacturers must also pass a pre-approval inspection for compliance with the applicable regulations as a condition of regulatory approval of our product candidates or any of our other potential products. In addition, the regulatory authorities in any country may, at any time, audit or inspect a manufacturing facility involved with the preparation of our product candidates or our other potential products or the associated quality systems for compliance with the regulations applicable to the activities being conducted. If these facilities and quality systems do not pass a pre-approval plant inspection, FDA approval of our product candidates, or the equivalent approvals in other jurisdictions, will not be granted.</w:t>
      </w:r>
    </w:p>
    <w:p>
      <w:pPr>
        <w:spacing w:after="0" w:line="2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Regulatory authorities also may, at any time following approval of a product for sale, inspect our manufacturing facilities or those of our third-party suppliers or contractors. If any such inspection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third-party to implement and that may include the temporary or permanent suspension of a clinical trial or commercial sales of our approved products or the temporary or permanent closure of a facility. Any such remedial measures imposed upon us or third parties with whom we contract could materially harm our business. If we or any of our third-party API or component manufacturers fail to maintain regulatory compliance, the FDA can impose regulatory sanctions including, among other things, refusal to approve a pending NDA for a new drug product or revocation of a pre-existing approval. As a result, our business, financial condition and results of operations may be materially harmed resulting in a significant loss of revenues and results and resulting in a potential default in our supply commitments or obligations, which could lead to termination of our supply agreements, our incurrence of default damages and our loss of significant revenues.</w:t>
      </w:r>
    </w:p>
    <w:p>
      <w:pPr>
        <w:spacing w:after="0" w:line="19"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may not be successful in establishing development and commercialization collaborations, which could adversely affect, and potentially prohibit, our ability to develop our product candidates.</w:t>
      </w: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Because developing pharmaceutical products, conducting clinical trials, obtaining regulatory approvals, establishing manufacturing capabilities and marketing approved products are expensive, we continue to explore collaborations or licensing arrangements with third parties that have available resources and experience both in the United States and in territories outside of the United States. We continue to explore selective collaborations with third parties for development and commercialization of our products and candidates both in and outside of the United States. We may, however, be unable to advance the development and/or commercialization of our products and product candidates in territories outside of the United States, which may limit the market potential for certain products and product candidates outside the U.S.</w:t>
      </w:r>
    </w:p>
    <w:p>
      <w:pPr>
        <w:spacing w:after="0" w:line="1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situations where we enter into a development and commercial collaborative arrangement for a product or product candidate, we may also seek to establish additional collaborations for development and commercialization in territories outside of those addressed by the first collaborative arrangement for such product or product candidate. There are a limited number of potential licensees, and we expect to face competition in seeking appropriate licensees. If we are unable to enter into any development and commercial collaborations and/or sales and marketing arrangements on acceptable terms, if at all, we may be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6" w:name="page47"/>
    <w:bookmarkEnd w:id="46"/>
    <w:p>
      <w:pPr>
        <w:jc w:val="both"/>
        <w:spacing w:after="0" w:line="284" w:lineRule="auto"/>
        <w:rPr>
          <w:sz w:val="20"/>
          <w:szCs w:val="20"/>
          <w:color w:val="auto"/>
        </w:rPr>
      </w:pPr>
      <w:r>
        <w:rPr>
          <w:rFonts w:ascii="Times New Roman" w:cs="Times New Roman" w:eastAsia="Times New Roman" w:hAnsi="Times New Roman"/>
          <w:sz w:val="14"/>
          <w:szCs w:val="14"/>
          <w:color w:val="auto"/>
        </w:rPr>
        <w:t>unable to successfully develop and seek regulatory approval for our product or product candidates and/or effectively market and sell approved products, if any, in all of the territories outside of the United States where it may otherwise be valuable to do so.</w:t>
      </w:r>
    </w:p>
    <w:p>
      <w:pPr>
        <w:spacing w:after="0" w:line="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Whether we reach an agreement for a collaboration will depend, among other things, upon our assessment of the collaborator’s resources and expertise, the terms and conditions of the proposed collaboration and the proposed collaborator’s evaluation of a number of factors. Those factors may include the likelihood of approval by the FDA or foreign regulatory authorities, the potential market for the product or product candidate, the costs and complexities of delivering such product or product candidate to patients, competing products, and industry and market conditions generally. Collaborations are complex and time-consuming to negotiate and document.</w:t>
      </w:r>
    </w:p>
    <w:p>
      <w:pPr>
        <w:spacing w:after="0" w:line="1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may not be able to negotiate collaborations on a timely basis, on acceptable terms, or at all. If we elect to increase our expenditures to fund development or commercialization activities on our own, we may need to obtain significant additional capital, which may not be available to us on acceptable terms or at all. If we do not have sufficient funds, we may not be able to further develop our product candidates or bring them to market and generate product revenue.</w:t>
      </w:r>
    </w:p>
    <w:p>
      <w:pPr>
        <w:spacing w:after="0" w:line="6"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may not be successful in maintaining development and commercialization collaborations, and any collaborators may not devote sufficient resources to the development or commercialization of our products or product candidates or may otherwise fail in development or commercialization efforts, which could adversely affect our ability to develop and successfully commercialize certain of our products and product candidates and our financial condition and operating results.</w:t>
      </w:r>
    </w:p>
    <w:p>
      <w:pPr>
        <w:spacing w:after="0" w:line="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When we establish collaborative arrangements, such collaboration may not ultimately be successful, which could have a negative impact on our business, results of operations, financial condition and prospects. If we collaborate with a third-party for development and commercialization of a product or product candidate, we can expect to relinquish some or all of the control over the future success of that product or product candidate to the third-party. It is possible that a third-party collaborator may not devote sufficient resources to the development or commercialization of our product or product candidate or may otherwise fail in development or commercialization efforts, in which event the development and commercialization of such product or product candidate could be delayed or terminated and our business could be substantially harmed. In addition, the terms of any collaboration or other arrangement that we establish may not prove to be favorable to us or may not be perceived as favorable, which may negatively impact the trading price of our Common Stock. In some cases, we may be responsible for continuing development of a product or product candidate or research program under a collaboration, and the payment we receive from our licensee may be insufficient to cover the cost of this development. Moreover, collaborations and sales and marketing arrangements are complex and time consuming to negotiate, document and implement, and they may require substantial resources to maintain.</w:t>
      </w:r>
    </w:p>
    <w:p>
      <w:pPr>
        <w:spacing w:after="0" w:line="21"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4"/>
          <w:szCs w:val="14"/>
          <w:color w:val="auto"/>
        </w:rPr>
        <w:t>We are subject to a number of additional risks associated with our dependence on collaborations with third parties, the occurrence of which could cause our collaborative arrangements to fail, including that:</w:t>
      </w:r>
    </w:p>
    <w:p>
      <w:pPr>
        <w:spacing w:after="0" w:line="1" w:lineRule="exact"/>
        <w:rPr>
          <w:sz w:val="20"/>
          <w:szCs w:val="20"/>
          <w:color w:val="auto"/>
        </w:rPr>
      </w:pPr>
    </w:p>
    <w:p>
      <w:pPr>
        <w:ind w:left="760" w:hanging="246"/>
        <w:spacing w:after="0"/>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undertake the expenditure of substantial operational, financial and management resources;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issue equity securities that would dilute our stockholders’ percentage of ownership;</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assume substantial actual or contingent liabilities;</w:t>
      </w:r>
    </w:p>
    <w:p>
      <w:pPr>
        <w:spacing w:after="0" w:line="51" w:lineRule="exact"/>
        <w:rPr>
          <w:rFonts w:ascii="Times New Roman" w:cs="Times New Roman" w:eastAsia="Times New Roman" w:hAnsi="Times New Roman"/>
          <w:sz w:val="14"/>
          <w:szCs w:val="14"/>
          <w:color w:val="auto"/>
        </w:rPr>
      </w:pPr>
    </w:p>
    <w:p>
      <w:pPr>
        <w:ind w:left="760" w:hanging="246"/>
        <w:spacing w:after="0" w:line="284" w:lineRule="auto"/>
        <w:tabs>
          <w:tab w:leader="none" w:pos="75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strategic collaborators could terminate the arrangement or allow it to expire, which would delay the development and commercialization and may substantially increase the cost of developing and commercializing our products and product candidates;</w:t>
      </w:r>
    </w:p>
    <w:p>
      <w:pPr>
        <w:ind w:left="760" w:hanging="246"/>
        <w:spacing w:after="0" w:line="284" w:lineRule="auto"/>
        <w:tabs>
          <w:tab w:leader="none" w:pos="75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combinations of a strategic collaborator or significant changes in a strategic collaborator’s business strategy may affect a strategic collaborator’s willingness or ability to complete its obligations under any arrangement;</w:t>
      </w:r>
    </w:p>
    <w:p>
      <w:pPr>
        <w:ind w:left="760" w:hanging="246"/>
        <w:spacing w:after="0" w:line="284" w:lineRule="auto"/>
        <w:tabs>
          <w:tab w:leader="none" w:pos="75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strategic collaborators could decide to move forward with a competing product or product candidate developed either independently or in collaboration with others, including our competitors;</w:t>
      </w:r>
    </w:p>
    <w:p>
      <w:pPr>
        <w:ind w:left="760" w:hanging="246"/>
        <w:spacing w:after="0"/>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perform their obligations as expected;</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trials conducted as part of any of these collaborations may not be successful;</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actively or aggressively pursue development and commercialization of any product candidates that seek to achieve, or that achieves, regulatory approval;</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have access to or may be restricted from disclosing certain information regarding product candidates being developed or commercialized under a collaboration;</w:t>
      </w:r>
    </w:p>
    <w:p>
      <w:pPr>
        <w:spacing w:after="0" w:line="51" w:lineRule="exact"/>
        <w:rPr>
          <w:rFonts w:ascii="Times New Roman" w:cs="Times New Roman" w:eastAsia="Times New Roman" w:hAnsi="Times New Roman"/>
          <w:sz w:val="14"/>
          <w:szCs w:val="14"/>
          <w:color w:val="auto"/>
        </w:rPr>
      </w:pPr>
    </w:p>
    <w:p>
      <w:pPr>
        <w:ind w:left="760" w:hanging="246"/>
        <w:spacing w:after="0" w:line="284" w:lineRule="auto"/>
        <w:tabs>
          <w:tab w:leader="none" w:pos="75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collaborator with marketing and distribution rights to one or more of our product candidates that achieve regulatory approval may not commit sufficient resources to the marketing and distribution of any such product candidate; and</w:t>
      </w:r>
    </w:p>
    <w:p>
      <w:pPr>
        <w:ind w:left="760" w:hanging="246"/>
        <w:spacing w:after="0"/>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infringe the intellectual property rights of third parties, which may expose us to litigation and potential liability.</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7" w:name="page48"/>
    <w:bookmarkEnd w:id="47"/>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If any such collaborations do not result in the successful development and commercialization of product candidates, or if one of our collaborators terminates its agreement with us, the development or commercialization of our products or product candidates could be delayed and our business and prospects harmed. All of the risks relating to product development, regulatory approval and commercialization apply to the activities of our existing and future collaborators.</w:t>
      </w:r>
    </w:p>
    <w:p>
      <w:pPr>
        <w:spacing w:after="0" w:line="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Additionally, conflicts may arise between us and our third-party collaborators, such as conflicts concerning the interpretation of clinical data, the achievement of milestones, the interpretation of financial provisions or the ownership of intellectual property developed during the collaboration. For example, our existing revenue streams are largely dependent on Indivior, which holds the global commercialization rights to our approved product, Suboxone. During the years ended December 31, 2025 and 2024, Indivior represented 73% and 62% of our total revenue, respectively. If any such conflicts were to arise with Indivior or any other third party collaborators, one or more of the following events could result, each of which could delay or prevent the development or commercialization of our product or product candidates and harm our business:</w:t>
      </w:r>
    </w:p>
    <w:p>
      <w:pPr>
        <w:spacing w:after="0" w:line="16" w:lineRule="exact"/>
        <w:rPr>
          <w:sz w:val="20"/>
          <w:szCs w:val="20"/>
          <w:color w:val="auto"/>
        </w:rPr>
      </w:pPr>
    </w:p>
    <w:p>
      <w:pPr>
        <w:ind w:left="760" w:hanging="246"/>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reductions in the payment of royalties or other payments we believe are due pursuant to the applicable collaborative arrangement;</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taken by a third-party collaborator inside or outside our collaboration which could negatively impact our rights or benefits under our collaboration;</w:t>
      </w:r>
    </w:p>
    <w:p>
      <w:pPr>
        <w:spacing w:after="0" w:line="51" w:lineRule="exact"/>
        <w:rPr>
          <w:rFonts w:ascii="Times New Roman" w:cs="Times New Roman" w:eastAsia="Times New Roman" w:hAnsi="Times New Roman"/>
          <w:sz w:val="14"/>
          <w:szCs w:val="14"/>
          <w:color w:val="auto"/>
        </w:rPr>
      </w:pPr>
    </w:p>
    <w:p>
      <w:pPr>
        <w:ind w:left="760" w:hanging="246"/>
        <w:spacing w:after="0" w:line="284" w:lineRule="auto"/>
        <w:tabs>
          <w:tab w:leader="none" w:pos="75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unwillingness on the part of a third-party collaborator to keep us informed regarding the progress of its development and commercialization activities or to permit public disclosure of the results of those activities; and</w:t>
      </w:r>
    </w:p>
    <w:p>
      <w:pPr>
        <w:ind w:left="760" w:hanging="246"/>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decision by our third-party collaborator to terminate or significantly reduce the relationship.</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Operations and Industry</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We may experience difficulties in managing growth if our business expands to meet future needs, which could disrupt our operations.</w:t>
      </w:r>
    </w:p>
    <w:p>
      <w:pPr>
        <w:spacing w:after="0" w:line="5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4"/>
          <w:szCs w:val="14"/>
          <w:color w:val="auto"/>
        </w:rPr>
        <w:t>Although it is not expected to be imminent, if we need to expand our business to meet demands in growth of our manufacturing operations in connection with the commercialization of Libervant for ARS patients if granted full U.S. market access for commercialization, and to accommodate the potential commercialization of Anaphylm, if approved by the FDA. Additionally, there could be strategic expansion of our product pipeline in the future, and we would expect to expand our employee base to increase our managerial, regulatory, compliance, scientific and engineering, operational, sales, marketing, financial and other resources and to hire more consultants and contractors. Future growth would impose significant additional responsibilities on our management, including the need to identify, recruit, maintain, motivate and integrate additional employees, consultants, contractors and contract employees. 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give rise to operational mistakes, loss of business opportunities, loss of employees and reduced productivity among remaining employees. Future growth could require significant capital expenditures and may divert financial resources from other projects, such as the development of our existing or future product candidates. If our management is unable to effectively manage our growth, our expenses may increase more than expected, our ability to generate and/or grow revenue could be reduced and we may not be able to implement our business strategy. Our future financial performance and our ability to commercialize our products and product candidates, if approved, and compete effectively will depend, in part, on our ability to effectively manage any future growth.</w:t>
      </w:r>
    </w:p>
    <w:p>
      <w:pPr>
        <w:spacing w:after="0" w:line="2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addition, any growth in our management team could add increased expense which we must absorb, without necessarily having commensurate growth in our revenues. Also, to date, we have only directly marketed two products in the market. If we commercialize and directly market Anaphylm, if approved for U.S. market access, this could require a significant upfront expense and create a rapid growth in our workforce. This increase in expense may negatively impact our results of operations and may add to our need for additional funds.</w:t>
      </w:r>
    </w:p>
    <w:p>
      <w:pPr>
        <w:spacing w:after="0" w:line="6"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licensed products and, if approved, product candidates, may give rise to potential product liability claims or false marketing claims, and, if successful claims are brought against us, we may incur substantial liability.</w:t>
      </w: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 xml:space="preserve">As a pharmaceutical company, we operate in a market that is subject to significant risk of liability. The sales of any of our licensed products and product candidates for which we may obtain marketing approval and the use of our product candidates in clinical trials, if any, exposes us to the risk of product liability claims alleging adverse effects from such products or product candidates and false marketing claims relating to the commercialization of such products or product candidates. Product liability claims might be brought against us by consumers, healthcare providers, pharmaceutical companies, others selling or otherwise coming into contact with our products or product candidates, or governmental agencies. Suboxone, which treats opioid addiction, has as one of its active ingredients an opioid, buprenorphine. There can be no assurance that we will not become the target of claims relating to opioid addiction as have companies that market opioids. We have been named as a defendant with Indivior in product liability claims related to dental injuries for use of Suboxone. For more detailed information regarding these claims, see Part II Item 8. Financial Statements and Supplementary Data, Note 23, </w:t>
      </w:r>
      <w:r>
        <w:rPr>
          <w:rFonts w:ascii="Times New Roman" w:cs="Times New Roman" w:eastAsia="Times New Roman" w:hAnsi="Times New Roman"/>
          <w:sz w:val="14"/>
          <w:szCs w:val="14"/>
          <w:i w:val="1"/>
          <w:iCs w:val="1"/>
          <w:color w:val="auto"/>
        </w:rPr>
        <w:t>Contingencies</w:t>
      </w:r>
      <w:r>
        <w:rPr>
          <w:rFonts w:ascii="Times New Roman" w:cs="Times New Roman" w:eastAsia="Times New Roman" w:hAnsi="Times New Roman"/>
          <w:sz w:val="14"/>
          <w:szCs w:val="14"/>
          <w:color w:val="auto"/>
        </w:rPr>
        <w:t xml:space="preserve"> to our financial statements. Any product liability claims, or false marketing claims, could have a material adverse effect on our</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8" w:name="page49"/>
    <w:bookmarkEnd w:id="48"/>
    <w:p>
      <w:pPr>
        <w:spacing w:after="0" w:line="284" w:lineRule="auto"/>
        <w:rPr>
          <w:sz w:val="20"/>
          <w:szCs w:val="20"/>
          <w:color w:val="auto"/>
        </w:rPr>
      </w:pPr>
      <w:r>
        <w:rPr>
          <w:rFonts w:ascii="Times New Roman" w:cs="Times New Roman" w:eastAsia="Times New Roman" w:hAnsi="Times New Roman"/>
          <w:sz w:val="14"/>
          <w:szCs w:val="14"/>
          <w:color w:val="auto"/>
        </w:rPr>
        <w:t>business, financial position, results of operations and future growth prospects. If we cannot successfully defend against product liability claims or false marketing claims, we could incur substantial liability and costs. In addition, regardless of merit or eventual outcome, product liability claims or false marketing claims may result in:</w:t>
      </w:r>
    </w:p>
    <w:p>
      <w:pPr>
        <w:spacing w:after="0" w:line="1" w:lineRule="exact"/>
        <w:rPr>
          <w:sz w:val="20"/>
          <w:szCs w:val="20"/>
          <w:color w:val="auto"/>
        </w:rPr>
      </w:pPr>
    </w:p>
    <w:p>
      <w:pPr>
        <w:ind w:left="760" w:hanging="246"/>
        <w:spacing w:after="0"/>
        <w:tabs>
          <w:tab w:leader="none" w:pos="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of our business reputation;</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clinical study participants;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costs due to litigation;</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distraction of management’s attention from our primary business;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monetary awards to patients or other claimants;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commercialize our licensed products and product candidates; and</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decreased demand for our licensed products or product candidates, if approved for commercial sale.</w:t>
      </w:r>
    </w:p>
    <w:p>
      <w:pPr>
        <w:spacing w:after="0" w:line="49"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maintain insurance coverage, and our existing or any future insurance policies or our own resources may not sufficiently cover claims for damages that we may receive in the future.</w:t>
      </w: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Our business exposes us to potential product liability and other liability risks that are inherent in clinical development, manufacturing, marketing, sale and use of human therapeutic products. It is generally necessary for us to secure certain levels of insurance as a condition for the conduct of clinical trials and any sale or use of our products. We have procured product liability insurance with respect to the sale of our licensed products and all clinical trials performed to date for which we were responsible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xml:space="preserve"> in respect of our internal product pipeline). Further, we may seek to expand our insurance coverage for our licensed products and our marketing and commercialization of any future approved product candidates as well as other risks related to our business.</w:t>
      </w:r>
    </w:p>
    <w:p>
      <w:pPr>
        <w:spacing w:after="0" w:line="1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Our current product liability insurance coverage may not be sufficient to reimburse us for any expenses or losses we may suffer. Insurance coverage is becoming increasingly expensive and, in the future, we may not be able to maintain insurance coverage at an acceptable cost to us or in sufficient amounts to protect us against losses due to liability. The product liability claim against us with respect to Suboxone may make obtaining product liability insurance coverage at an acceptable cost more problematic. On occasion, large judgments have been awarded in class action lawsuits based on drugs that had unanticipated adverse effects. A successful product liability claim or series of claims brought against us could cause our stock price to decline and, if judgments exceed our insurance coverage, could materially adversely affect our results of operations and business.</w:t>
      </w:r>
    </w:p>
    <w:p>
      <w:pPr>
        <w:spacing w:after="0" w:line="14"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rely significantly on information technology and any failure, inadequacy, interruption or security lapse of that technology, including any cybersecurity incidents (including those facilitated by AI) , could harm our ability to operate our business effectively.</w:t>
      </w:r>
    </w:p>
    <w:p>
      <w:pPr>
        <w:jc w:val="both"/>
        <w:ind w:firstLine="509"/>
        <w:spacing w:after="0" w:line="246" w:lineRule="auto"/>
        <w:rPr>
          <w:sz w:val="20"/>
          <w:szCs w:val="20"/>
          <w:color w:val="auto"/>
        </w:rPr>
      </w:pPr>
      <w:r>
        <w:rPr>
          <w:rFonts w:ascii="Times New Roman" w:cs="Times New Roman" w:eastAsia="Times New Roman" w:hAnsi="Times New Roman"/>
          <w:sz w:val="14"/>
          <w:szCs w:val="14"/>
          <w:color w:val="auto"/>
        </w:rPr>
        <w:t>Despite the implementation of security measures, our internal computer systems and those of third parties with which we contract are vulnerable to damage from cyber-attacks, computer viruses, unauthorized access, natural disasters, terrorism, war and telecommunication and electrical failures. The increasing availability of AI may amplify the effectiveness of phishing, social engineering, automated vulnerability discovery, and malicious code generation, increasing the likelihood, sophistication, and potential impact of cyber incidents. While our systems have been secured and strengthened, there can be no assurance that we will not experience cyber-attacks in the future, suffer indirect consequences from a cyber-attack on a third-party, or fail to anticipate, identify or offset threats of potential cyber-attacks or security breaches in a timely manner. This is especially so considering the nature of cyber-attack techniques, which change frequently, can be difficult to detect for extended periods of time and often are not recognized until they succeed. System failures, accidents or security breaches could cause interruptions in our operations and could result in a material disruption of our product development and clinical activities and business operations, in addition to possibly requiring substantial expenditures of resources to remedy. The loss of product development or clinical trial data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our development programs and the development of our product candidates could be delayed.</w:t>
      </w:r>
    </w:p>
    <w:p>
      <w:pPr>
        <w:spacing w:after="0" w:line="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Our use of artificial intelligence technologies could expose us to operational, legal, regulatory, and reputational risks and could adversely affect our business.</w:t>
      </w:r>
    </w:p>
    <w:p>
      <w:pPr>
        <w:spacing w:after="0" w:line="5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We have begun to deploy, and expect to continue deploying AI, including machine learning and generative AI, in certain aspects of our business, including R&amp;D, clinical operations, pharmacovigilance, manufacturing and quality, supply chain, and commercial and corporate functions. AI technologies are rapidly evolving, may be trained on incomplete, biased, or otherwise flawed data, and may produce inaccurate, misleading, or non-reproducible outputs, including so-called "hallucinations," which could lead to incorrect scientific conclusions, suboptimal R&amp;D prioritization, faulty decision-making, product quality issues, compliance failures, or patient safety risks.</w:t>
      </w:r>
    </w:p>
    <w:p>
      <w:pPr>
        <w:spacing w:after="0" w:line="11"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AI systems can be difficult to explain or validate and may not perform as expected across different populations, datasets, or real-world conditions. Use of AI in GxP-adjacent environments (including clinical data handling, safety signal detection, quality investigations, and manufacturing) may require additional validation, change control, documentation, and oversight and may increase costs and timelines. If our AI systems, models, or assumptions are challenged by regulators,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color w:val="auto"/>
        </w:rPr>
        <w:t>auditors, collaborators, or customers, we may face remediation obligations, delays, warning letters, recalls, reputational damage, or litigation.</w:t>
      </w:r>
    </w:p>
    <w:p>
      <w:pPr>
        <w:spacing w:after="0" w:line="4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Our AI use may also raise privacy and data protection concerns. AI tools often require large datasets and may rely on third-party platforms. If we input sensitive, proprietary, regulated, or personal data (including clinical, patient, healthcare professional, or employee information) into AI systems without appropriate controls, we may inadvertently disclose confidential information, violate contractual restrictions, or fail to comply with privacy, data localization, cybersecurity, or sector-specific requirements. We may also face heightened scrutiny as regulators globally consider or adopt new AI-specific rules and guidance, increasing compliance uncertainty and costs.</w:t>
      </w:r>
    </w:p>
    <w:p>
      <w:pPr>
        <w:spacing w:after="0" w:line="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Our AI initiatives may depend on third-party vendors, cloud providers, and model developers, limiting our control over performance, security, and continuity. Vendor changes to service terms, pricing, model behavior, or data usage policies, or interruptions in access, could disrupt operations, impair projects, or create unexpected costs. Additionally, the intellectual property status of AI inputs and outputs may be uncertain; we may face claims that AI training data or outputs infringe third-party rights, or we may be unable to protect or enforce our own rights in AI-assisted work product, which could diminish the value of our research, brands, and proprietary assets.</w:t>
      </w:r>
    </w:p>
    <w:p>
      <w:pPr>
        <w:spacing w:after="0" w:line="1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We have adopted an Artificial Intelligence Policy that governs employee use of AI-enabled tools and is intended to promote responsible use, protect confidential information, and mitigate operational and compliance risks. Our Information Technology ("IT") organization oversees the deployment and operation of Microsoft 365 Copilot and related AI capabilities and applies a risk management approach aligned with the NIST Artificial Intelligence Risk Management Framework. Notwithstanding these efforts, AI risk management is inherently complex, and our policies, oversight, and controls may not be effective in preventing all errors, misuse, security incidents, or adverse outcomes.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do not effectively develop, adopt, and govern AI technologies, we may be less competitive and our operating results could suffer.</w:t>
      </w:r>
    </w:p>
    <w:p>
      <w:pPr>
        <w:spacing w:after="0" w:line="53"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4"/>
          <w:szCs w:val="14"/>
          <w:color w:val="auto"/>
        </w:rPr>
        <w:t>AI is increasingly used across the life sciences industry to accelerate target identification, molecular design, trial optimization, safety signal detection, manufacturing efficiency, and commercial operations. If we fail to adopt AI effectively—or adopt it more slowly, at higher cost, or with weaker governance than our competitors—our competitors may achieve faster development timelines, improved success rates, lower costs, enhanced quality, and better commercial execution, which could reduce our market share, compress margins, or render aspects of our business less competitive. Moreover, realizing value from AI requires specialized talent, data readiness, validated processes, and change management. Competition for qualified AI and data professionals is intense, and we may not be able to recruit or retain personnel needed to build or operate AI capabilities. Even where we invest in AI, we may not achieve expected productivity gains, may over-invest in tools that underperform, or may workflow disruption. Any of these outcomes could adversely impact our business objectives.</w:t>
      </w:r>
    </w:p>
    <w:p>
      <w:pPr>
        <w:spacing w:after="0" w:line="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Business interruptions at our manufacturing facilities could delay us in the process of developing our product candidates.</w:t>
      </w:r>
    </w:p>
    <w:p>
      <w:pPr>
        <w:spacing w:after="0" w:line="53"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Our headquarters are located in Warren, New Jersey and we have manufacturing facilities in Portage, Indiana. If we encounter any disruptions to our operations at these sites or one were to shut down for any reason, including by fire, natural disaster, such as a hurricane, tornado or severe storm, power outage, systems failure, labor dispute or other unforeseen disruption, then we may be prevented from effectively operating our business. Our coverage for natural disasters may be somewhat limited for floods or earthquakes and we may not carry sufficient business interruption insurance for any unexpected events to compensate us for losses that may occur. Any losses or damages we incur could have a material adverse effect on our business operations.</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Our R&amp;D activities could be affected or delayed as a result of possible restrictions on animal testing.</w:t>
      </w:r>
    </w:p>
    <w:p>
      <w:pPr>
        <w:spacing w:after="0" w:line="53"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R&amp;D activities may be interrupted, delayed or become more expensive.</w:t>
      </w:r>
    </w:p>
    <w:p>
      <w:pPr>
        <w:spacing w:after="0" w:line="11"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operations involve hazardous materials and we and third parties with whom we contract must comply with environmental laws and regulations, which can be expensive and restrict how we do business.</w:t>
      </w: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As a pharmaceutical company, we are subject to environmental and safety laws and regulations, including those governing the use of hazardous materials. The cost of compliance with health and safety regulations is substantial. Our business activities involve the controlled use of hazardous materials. Our R&amp;D activities involve the controlled storage, use and disposal of hazardous materials, including the components of our product candidates and other hazardous compounds. We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accidental contamination or injury from these materials, which could cause an interruption of our commercialization efforts, R&amp;D efforts and business operations, environmental damage resulting in costly clean-up and liabilities under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0" w:name="page51"/>
    <w:bookmarkEnd w:id="50"/>
    <w:p>
      <w:pPr>
        <w:jc w:val="both"/>
        <w:spacing w:after="0" w:line="258" w:lineRule="auto"/>
        <w:rPr>
          <w:sz w:val="20"/>
          <w:szCs w:val="20"/>
          <w:color w:val="auto"/>
        </w:rPr>
      </w:pPr>
      <w:r>
        <w:rPr>
          <w:rFonts w:ascii="Times New Roman" w:cs="Times New Roman" w:eastAsia="Times New Roman" w:hAnsi="Times New Roman"/>
          <w:sz w:val="14"/>
          <w:szCs w:val="14"/>
          <w:color w:val="auto"/>
        </w:rPr>
        <w:t>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U.S. federal and state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maintain environmental liability insurance coverage to mitigate our exposure in the event of an accident or environmental discharge. In the event that we may be held liable for any consequential damage and any resulting claims for damages, which may exceed our insured limits and financial resources, we may incur costs that may materially adversely affect our business, results of operations and prospects, and the value of our shares.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Government Regulation</w:t>
      </w:r>
    </w:p>
    <w:p>
      <w:pPr>
        <w:spacing w:after="0" w:line="51"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If the FDA does not conclude that our product candidates satisfy the requirements for the 505(b)(2) regulatory approval pathway, or if the requirements for approval of any of our product candidates under Section 505(b)(2) are not as we expect, the approval pathway for our product candidates will likely take significantly longer, cost significantly more and encounter significantly greater complications and risks than anticipated, and in any case may not be successful.</w:t>
      </w:r>
    </w:p>
    <w:p>
      <w:pPr>
        <w:spacing w:after="0" w:line="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intend to seek FDA approval through the 505(b)(2) regulatory pathway for each of our product candidates described in this report. The Drug Price Competition and Patent Term Restoration Act of 1984, also known as the Hatch-Waxman Act, added Section 505(b)(2) to the Federal Food, Drug, and Cosmetic Act, or FDCA. Section 505(b)(2) permits the filing of an NDA where at least some of the information required for approval comes from studies that were not conducted by or for the applicant.</w:t>
      </w:r>
    </w:p>
    <w:p>
      <w:pPr>
        <w:spacing w:after="0" w:line="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If the FDA does not allow us to pursue the 505(b)(2) regulatory pathway for our product candidates as anticipated, we may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Moreover, the inability to pursue the 505(b)(2) regulatory pathway could result in new competitive products reaching the market faster than our product candidates, which could materially adversely impact our competitive position and prospects. Even if we are permitted to pursue the 505(b)(2) regulatory pathway for a product candidate, we cannot assure you that we will receive the requisite or timely approvals for commercialization of such product candidate.</w:t>
      </w:r>
    </w:p>
    <w:p>
      <w:pPr>
        <w:spacing w:after="0" w:line="1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addition, notwithstanding the approval of a number of products by the FDA under Section 505(b)(2) over the last few years, certain competitors and others have objected to the FDA’s interpretation of Section 505(b)(2). We expect that our competitors could file citizens’ petitions with the FDA in an attempt to persuade the FDA that our product candidates, or the clinical studies that support their approval, contain deficiencies. If the FDA’s interpretation of Section 505(b)(2) is successfully challenged, the FDA may be required to change its Section 505(b)(2) policies and practices, which could delay or even prevent the FDA from approving any NDA that we submit under Section 505(b)(2).</w:t>
      </w:r>
    </w:p>
    <w:p>
      <w:pPr>
        <w:spacing w:after="0" w:line="11"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products or product candidates may cause adverse effects or have other properties that could delay or prevent their regulatory approval or limit the scope of any approved label or market acceptance, cause us to suspend or discontinue clinical trials, abandon product candidates, or result in significant negative consequences following marketing approval, if any.</w:t>
      </w: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As with many pharmaceutical and biological products, treatment with our products or product candidates may produce undesirable side effects or adverse reactions or events. Although the nature of our products or product candidates as containing active ingredients that have already been approved means that the side effects arising from the use of the active ingredient or class of drug in our products or product candidates is generally known, our products or product candidates may still cause undesirable side effects. These could be attributed to the active ingredient or class of drug or to our unique formulation of such products or product candidates, or other potentially harmful characteristics. Such characteristics could cause us, our IRBs, clinical trial sites, the FDA or other regulatory authorities to interrupt, delay or halt clinical trials and could result in a more restrictive label or the delay, denial or withdrawal of regulatory approval, which may harm our business, financial condition and prospects significantly.</w:t>
      </w:r>
    </w:p>
    <w:p>
      <w:pPr>
        <w:spacing w:after="0" w:line="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Further, if any of our products cause serious or unexpected side effects after receiving market approval, a number of potentially significant negative consequences could result, including:</w:t>
      </w:r>
    </w:p>
    <w:p>
      <w:pPr>
        <w:spacing w:after="0" w:line="51" w:lineRule="exact"/>
        <w:rPr>
          <w:sz w:val="20"/>
          <w:szCs w:val="20"/>
          <w:color w:val="auto"/>
        </w:rPr>
      </w:pPr>
    </w:p>
    <w:p>
      <w:pPr>
        <w:ind w:left="760" w:hanging="246"/>
        <w:spacing w:after="0"/>
        <w:tabs>
          <w:tab w:leader="none" w:pos="7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withdraw their approval of the product or impose restrictions on its distribution;</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may require implementation of a REMS;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require the addition of labeling statements, such as warnings or contraindications;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change the way the product is administered or conduct additional clinical studies;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be sued and held liable for substantial damages for harm caused to patients; and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1" w:name="page52"/>
    <w:bookmarkEnd w:id="51"/>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reputation may suffer.</w:t>
      </w:r>
    </w:p>
    <w:p>
      <w:pPr>
        <w:spacing w:after="0" w:line="51" w:lineRule="exact"/>
        <w:rPr>
          <w:sz w:val="20"/>
          <w:szCs w:val="20"/>
          <w:color w:val="auto"/>
        </w:rPr>
      </w:pPr>
    </w:p>
    <w:p>
      <w:pPr>
        <w:jc w:val="both"/>
        <w:ind w:firstLine="509"/>
        <w:spacing w:after="0" w:line="283" w:lineRule="auto"/>
        <w:rPr>
          <w:sz w:val="20"/>
          <w:szCs w:val="20"/>
          <w:color w:val="auto"/>
        </w:rPr>
      </w:pPr>
      <w:r>
        <w:rPr>
          <w:rFonts w:ascii="Times New Roman" w:cs="Times New Roman" w:eastAsia="Times New Roman" w:hAnsi="Times New Roman"/>
          <w:sz w:val="14"/>
          <w:szCs w:val="14"/>
          <w:color w:val="auto"/>
        </w:rPr>
        <w:t>Any of the above described events could prevent us from achieving or maintaining market acceptance of the affected product or product candidate, significantly affect our revenues and profitability from such products, and could substantially increase the costs of commercializing our products and product candidates.</w:t>
      </w:r>
    </w:p>
    <w:p>
      <w:pPr>
        <w:jc w:val="both"/>
        <w:ind w:firstLine="255"/>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business is subject to extensive regulatory requirements and our approved products and product candidates that obtain regulatory approval will be subject to ongoing and continued regulatory review, which may result in significant expense and limit our ability to commercialize such products.</w:t>
      </w: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Even after a product is approved, we will remain subject to ongoing FDA and other regulatory requirements governing the labeling, packaging, storage, distribution, safety surveillance, advertising, promotion, import, export, record-keeping and reporting of safety and other post-market information. The holder of an approved NDA is obligated to monitor and report adverse events, or AEs, and any failure of a product to meet the specifications in the NDA. The holder of an approved NDA must also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 In addition, the FDA may impose significant restrictions on the approved indicated uses for which the product may be marketed or on the conditions of approval. For example, a product’s approval may contain requirements for potentially costly post-approval studies and surveillance to monitor the safety and efficacy of the product, or the imposition of a REMS program.</w:t>
      </w:r>
    </w:p>
    <w:p>
      <w:pPr>
        <w:spacing w:after="0" w:line="19"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holder of an NDA is subject to payment of user fees and adherence to commitments made in the NDA. A manufacturer is also subject to continual review and periodic inspections by the FDA and other regulatory authorities for compliance with cGMPs. If we or a regulatory agency discovers previously unknown problems with a product, such as AEs of unanticipated severity or frequency, or problems with the facility where the product is manufactured, a regulatory agency may impose restrictions relative to that product or the manufacturing facility, including requiring product recall, notice to physicians, withdrawal of the product from the market or suspension of manufacturing.</w:t>
      </w:r>
    </w:p>
    <w:p>
      <w:pPr>
        <w:spacing w:after="0" w:line="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If we or our products or product candidates or our manufacturing facilities fail to comply with applicable regulatory requirements, a regulatory agency may:</w:t>
      </w:r>
    </w:p>
    <w:p>
      <w:pPr>
        <w:spacing w:after="0" w:line="51" w:lineRule="exact"/>
        <w:rPr>
          <w:sz w:val="20"/>
          <w:szCs w:val="20"/>
          <w:color w:val="auto"/>
        </w:rPr>
      </w:pPr>
    </w:p>
    <w:p>
      <w:pPr>
        <w:ind w:left="760" w:hanging="246"/>
        <w:spacing w:after="0"/>
        <w:tabs>
          <w:tab w:leader="none" w:pos="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warning letters or untitled letters asserting that we are in violation of the law;</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impose restrictions on the marketing or manufacturing of the product;</w:t>
      </w:r>
    </w:p>
    <w:p>
      <w:pPr>
        <w:spacing w:after="0" w:line="51" w:lineRule="exact"/>
        <w:rPr>
          <w:rFonts w:ascii="Times New Roman" w:cs="Times New Roman" w:eastAsia="Times New Roman" w:hAnsi="Times New Roman"/>
          <w:sz w:val="14"/>
          <w:szCs w:val="14"/>
          <w:color w:val="auto"/>
        </w:rPr>
      </w:pPr>
    </w:p>
    <w:p>
      <w:pPr>
        <w:ind w:left="760" w:hanging="246"/>
        <w:spacing w:after="0" w:line="284" w:lineRule="auto"/>
        <w:tabs>
          <w:tab w:leader="none" w:pos="75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an injunction or impose civil, criminal and/or administrative penalties, damages, assess monetary fines, require disgorgement, consider exclusion from participation in Medicare, Medicaid and other federal healthcare programs and require curtailment or restructuring of our operations;</w:t>
      </w:r>
    </w:p>
    <w:p>
      <w:pPr>
        <w:ind w:left="760" w:hanging="246"/>
        <w:spacing w:after="0"/>
        <w:tabs>
          <w:tab w:leader="none" w:pos="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suspend or withdraw regulatory approval;</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suspend any ongoing clinical trials;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refuse to approve a pending NDA or supplements to an NDA submitted by us;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seize product; or</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refuse to allow us to enter into government contracts.</w:t>
      </w:r>
    </w:p>
    <w:p>
      <w:pPr>
        <w:spacing w:after="0" w:line="5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Similar post-market requirements may apply in foreign jurisdictions in which we may seek approval of our products. Any government investigation of alleged violations of law could require us to expend significant time and resources in response and could generate negative publicity. The occurrence of any event or penalty described above may inhibit our ability to market our products or commercialize our product candidates and generate revenues.</w:t>
      </w:r>
    </w:p>
    <w:p>
      <w:pPr>
        <w:spacing w:after="0" w:line="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addition, the FDA’s regulations, policies or guidance may change and new or additional statutes or government regulations in the United States and other jurisdictions may be enacted that could prevent or delay regulatory approval of our product candidates or further restrict or regulate post-approval activities. We cannot predict the likelihood, nature or extent of adverse government regulation that may arise from pending or future legislation or administrative action, either in the United States or abroad. If we are not able to achieve and maintain regulatory compliance, we may not be permitted to market or license our products and/or product candidates, which would materially adversely affect our ability to generate revenue and achieve or maintain profitability.</w:t>
      </w:r>
    </w:p>
    <w:p>
      <w:pPr>
        <w:spacing w:after="0" w:line="11"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Regulatory approval is required for each of our products in each jurisdiction in which we intend to market or license such products, and the inability to obtain such approvals would limit our ability to realize their full market potential.</w:t>
      </w: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order to market products outside of the United States, we or our licensees must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However, the failure to obtain regulatory approval in one jurisdiction may adversely impact the ability to obtain regulatory approval in another jurisdiction. Approval processes vary among countries and can involve additional product testing and validation and additional administrative review periods. Seeking foreign regulatory</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52" w:name="page53"/>
    <w:bookmarkEnd w:id="52"/>
    <w:p>
      <w:pPr>
        <w:jc w:val="both"/>
        <w:spacing w:after="0" w:line="264" w:lineRule="auto"/>
        <w:rPr>
          <w:sz w:val="20"/>
          <w:szCs w:val="20"/>
          <w:color w:val="auto"/>
        </w:rPr>
      </w:pPr>
      <w:r>
        <w:rPr>
          <w:rFonts w:ascii="Times New Roman" w:cs="Times New Roman" w:eastAsia="Times New Roman" w:hAnsi="Times New Roman"/>
          <w:sz w:val="14"/>
          <w:szCs w:val="14"/>
          <w:color w:val="auto"/>
        </w:rPr>
        <w:t>approval could result in difficulties and costs and require additional non-clinical studies or clinical trials which could be costly and time consuming. Regulatory requirements can vary widely from country to country and could delay or prevent the introduction of our products in those countries. If we or our licensees fail to comply with regulatory requirements in international markets or to obtain and maintain required approvals, or if regulatory approval in international markets is delayed, our target market will be reduced and our ability to realize the full market potential of our products will be harmed.</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If we fail to develop, acquire or in-license other product candidates or products, our business and prospects will be limited.</w:t>
      </w:r>
    </w:p>
    <w:p>
      <w:pPr>
        <w:spacing w:after="0" w:line="53"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Our long-term growth strategy is to develop and commercialize a portfolio of product candidates in addition to our existing products and product candidates. We may also acquire or in-license early to mid-stage new chemical entities, or NCEs. Although we have internal R&amp;D capacity that we believe will enable us to make improvements to existing compounds, we do not have internal drug discovery capabilities to identify and develop entirely new chemical entities or compounds. As a result, our primary means of expanding our pipeline of product candidates is to develop improved formulations and administration methods for existing FDA-approved products and/or select and acquire or in-license product candidates for the treatment of therapeutic indications that complement or augment our current targets, or that otherwise fit into our development or strategic plans on terms that are acceptable to us. Developing new formulations of existing products or identifying, selecting and acquiring or in-licensing promising product candidates requires substantial technical, financial and human resources expertise. Efforts to do so may not result in the actual development, acquisition or in-license of a particular product candidate, potentially resulting in a diversion of our management’s time and the expenditure of significant resources with no resulting benefit. If we are unable to add additional product candidates to our pipeline, our long-term business and prospects will be limited.</w:t>
      </w:r>
    </w:p>
    <w:p>
      <w:pPr>
        <w:spacing w:after="0" w:line="19"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Public concern regarding the safety of any of our drug products could result in the inclusion of unfavorable information in our labeling or require us to undertake other activities that may entail additional costs.</w:t>
      </w:r>
    </w:p>
    <w:p>
      <w:pPr>
        <w:jc w:val="both"/>
        <w:ind w:firstLine="509"/>
        <w:spacing w:after="0" w:line="256" w:lineRule="auto"/>
        <w:rPr>
          <w:sz w:val="20"/>
          <w:szCs w:val="20"/>
          <w:color w:val="auto"/>
        </w:rPr>
      </w:pPr>
      <w:r>
        <w:rPr>
          <w:rFonts w:ascii="Times New Roman" w:cs="Times New Roman" w:eastAsia="Times New Roman" w:hAnsi="Times New Roman"/>
          <w:sz w:val="14"/>
          <w:szCs w:val="14"/>
          <w:color w:val="auto"/>
        </w:rPr>
        <w:t>Considering widely publicized events concerning the safety risk of certain drug products, the FDA, members of Congress, the Government Accountability Office, medical professionals and the general public have raised concerns about potential drug safety issues. These events have resulted in the withdrawal of drug products, revisions to drug labeling that further limit use of the drug products and the establishment of risk management programs that may, for example, restrict distribution of drug products after approval. The FDAAA, grants significant expanded authority to the FDA, much of which is aimed at improving the safety of drug products before and after approval. In particular, the FDAAA authorizes the FDA to, among other things, require post-approval studies and clinical trials, mandate changes to drug labeling to reflect new safety information and require risk evaluation and mitigation strategies for certain drugs, including certain currently approved drugs. The FDAAA also significantly expands the federal government’s clinical trial registry and results databank, which we expect will result in significantly increased government oversight of clinical trials. Under the FDAAA, companies that violate these and other provisions of this law are subject to substantial civil monetary penalties, among other regulatory, civil and criminal penalties. The increased attention to drug safety issues may result in a more cautious approach by the FDA in its review of data from our clinical trials. Data from clinical trials may receive greater scrutiny, particularly with respect to safety, which may make the FDA or other regulatory authorities more likely to require additional preclinical studies or clinical trials. If the FDA requires us to provide additional clinical or preclinical data for any of our approved drug products, the indications for which that product candidate was approved may be limited or there may be specific warnings or limitations on dosing, and our efforts to commercialize any approved product may be otherwise adversely impacted.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obtain or protect intellectual property rights of any of our products and product candidates, we may not be able to compete effectively in our market.</w:t>
      </w:r>
    </w:p>
    <w:p>
      <w:pPr>
        <w:spacing w:after="0" w:line="5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We rely upon a combination of patents, trade secret protection and confidentiality agreements to protect the intellectual property related to our products and our product candidates. The issuance, scope, validity, enforceability, strength and commercial value of patents in the biotechnology and pharmaceutical field involves complex legal and scientific questions and can be uncertain. The patent applications that we own, or in-license, may fail to result in issued patents with claims that cover the products or product candidates, if approved, in the United States or in foreign countries or territories. If this were to occur, early generic competition could be expected against our products and product candidates, if approved. There may be relevant prior art relating to our patents and patent applications which could invalidate a patent or prevent a patent from issuing based on a pending patent application. In particular, because the active pharmaceutical ingredients in many of our product candidates have been on the market as separate products for many years, it is possible that these products have previously been used off-label in such a manner that such prior usage would affect the validity of our patents or our ability to obtain patents based on our patent applications.</w:t>
      </w:r>
    </w:p>
    <w:p>
      <w:pPr>
        <w:spacing w:after="0" w:line="1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patent prosecution process is expensive and time-consuming. We or our licensors may not be able to prepare, file and prosecute all necessary or desirable patent applications for a commercially reasonable cost or in a timely manner or in all jurisdictions. It is also possible that we or our licensors may fail to identify patentable aspects of inventions made in the course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3" w:name="page54"/>
    <w:bookmarkEnd w:id="53"/>
    <w:p>
      <w:pPr>
        <w:jc w:val="both"/>
        <w:spacing w:after="0" w:line="270" w:lineRule="auto"/>
        <w:rPr>
          <w:sz w:val="20"/>
          <w:szCs w:val="20"/>
          <w:color w:val="auto"/>
        </w:rPr>
      </w:pPr>
      <w:r>
        <w:rPr>
          <w:rFonts w:ascii="Times New Roman" w:cs="Times New Roman" w:eastAsia="Times New Roman" w:hAnsi="Times New Roman"/>
          <w:sz w:val="14"/>
          <w:szCs w:val="14"/>
          <w:color w:val="auto"/>
        </w:rPr>
        <w:t>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w:t>
      </w:r>
    </w:p>
    <w:p>
      <w:pPr>
        <w:spacing w:after="0" w:line="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4"/>
          <w:szCs w:val="14"/>
          <w:color w:val="auto"/>
        </w:rPr>
        <w:t>In addition to the protection afforded by patents, we rely on trade secret protection and confidentiality agreements to protect proprietary know-how that is not patentable, processes for which patents are difficult to enforce or which we choose not to seek to patent, and any other elements of our drug development and reformulation processes that involve proprietary know-how, information or technology that is not covered by patents. Although we generally require all of our colleagues to assign their inventions to us, and we generally seek to have all of our colleagues, consultants, advisors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or other third parties. Additionally, if the steps taken to maintain our trade secrets are deemed inadequate, we may have insufficient recourse against third parties for misappropriating the trade secret. In addition, others may independently discover our trade secrets and proprietary information. For example, the FDA is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1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We may enjoy only limited geographical protection with respect to certain patents and we may not be able to protect our intellectual property rights throughout the world.</w:t>
      </w:r>
    </w:p>
    <w:p>
      <w:pPr>
        <w:spacing w:after="0" w:line="53"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Filing and prosecuting patent applications and defending patents covering our products or product candidates, if approved, in all countries throughout the world would be prohibitively expensive. Competitors may use our and our licensors’ technologies in jurisdictions where we have not obtained patent protection to develop their own products and, further, may export otherwise infringing products to territories where we and our licensors have patent protection, but enforcement rights are not as strong as those in the United States or Europe. These products may compete with our products or product candidates, and our and our licensors’ patents or other intellectual property rights may not be effective or sufficient to prevent them from competing.</w:t>
      </w:r>
    </w:p>
    <w:p>
      <w:pPr>
        <w:spacing w:after="0" w:line="1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addition, we may decide to abandon national and regional patent applications before grant.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 that depending on the country, the scope of patent protection may vary for the same product candidate or technology.</w:t>
      </w:r>
    </w:p>
    <w:p>
      <w:pPr>
        <w:spacing w:after="0" w:line="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4"/>
          <w:szCs w:val="14"/>
          <w:color w:val="auto"/>
        </w:rPr>
        <w:t>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proprietary rights generally. Proceedings to enforce our patent rights in other jurisdictions, whether or not successful, could result in substantial costs and divert our efforts and attention from other aspects of our business, could put our patents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color w:val="auto"/>
        </w:rPr>
        <w:t>intellectual property rights important for our business in such jurisdictions, the value of these rights may be diminished, and we may face additional competition from others in those jurisdictions.</w:t>
      </w:r>
    </w:p>
    <w:p>
      <w:pPr>
        <w:spacing w:after="0" w:line="5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or any of our licensors is forced to grant a license to third parties with respect to any patents relevant to our business, our competitive position may be impaired.</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Patent reform legislation could increase the uncertainties and costs surrounding the prosecution of our patent applications and the enforcement or defense of our issued patents.</w:t>
      </w:r>
    </w:p>
    <w:p>
      <w:pPr>
        <w:spacing w:after="0" w:line="5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Our ability to obtain patents is highly uncertain because, to date, some legal principles remain unresolved, there has not been a consistent policy regarding the breadth or interpretation of claims allowed in patents in the United States and the specific content of patents and patent applications that are necessary to support and interpret patent claims is highly uncertain due to the complex nature of the relevant legal, scientific and factual issues. Changes in either patent laws or interpretations of patent laws in the United States and other countries may diminish the value of our intellectual property or narrow the scope of our patent protection and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existing patents or patents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existing patents or patents that we may obtain in the future.</w:t>
      </w:r>
    </w:p>
    <w:p>
      <w:pPr>
        <w:spacing w:after="0" w:line="19"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For example, if the issuance to us, in a given country, of a patent covering an invention is not followed by the issuance, in other countries, of patents covering the same invention, or if any judicial interpretation of the validity, enforceability, or scope of the claims in, or the written description or enablement, in a patent issued in one country is not similar to the interpretation given to the corresponding patent issued in another country, our ability to protect our intellectual property in those countries may be limited. Changes in either patent laws or in interpretations of patent laws in the United States and other countries may materially diminish the value of our intellectual property or narrow the scope of our patent protection.</w:t>
      </w:r>
    </w:p>
    <w:p>
      <w:pPr>
        <w:spacing w:after="0" w:line="17"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have in the past and are likely in the future to be, involved in lawsuits to protect or enforce our patents. These lawsuits are expensive and require us to expend substantial financial resources, are time consuming, may continue for many years for one or more claims and may be unsuccessful.</w:t>
      </w: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Competitors may infringe our patents or the patents of any potential licensors. To counter infringement or unauthorized use, we have been, and in the future may be, required to file infringement claims, which are expensive and time-consuming.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Interference proceedings invoked by third parties or brought by us may be necessary to determine the priority of inventions with respect to our patents or patent applications or those of our collaborators or licensors. An unfavorable outcome could require us to cease using the related technology or to attempt to license rights to it from the prevailing party. Our business could be significantly harmed if the prevailing party does not offer us a license on commercially reasonable terms. Our bringing or defending litigation or interference proceedings may fail and, even if successful, may result in substantial costs and distract our management and other employees from our core business. We may not be able to prevent, alone or with our licensors, misappropriation of our intellectual property rights, particularly in countries where the laws may not protect those rights as fully as in the United States.</w:t>
      </w:r>
    </w:p>
    <w:p>
      <w:pPr>
        <w:spacing w:after="0" w:line="14"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 xml:space="preserve">A number of our issued patents have been involved in administrative proceedings, such as reexamination and </w:t>
      </w:r>
      <w:r>
        <w:rPr>
          <w:rFonts w:ascii="Times New Roman" w:cs="Times New Roman" w:eastAsia="Times New Roman" w:hAnsi="Times New Roman"/>
          <w:sz w:val="14"/>
          <w:szCs w:val="14"/>
          <w:i w:val="1"/>
          <w:iCs w:val="1"/>
          <w:color w:val="auto"/>
        </w:rPr>
        <w:t>inter partes</w:t>
      </w:r>
      <w:r>
        <w:rPr>
          <w:rFonts w:ascii="Times New Roman" w:cs="Times New Roman" w:eastAsia="Times New Roman" w:hAnsi="Times New Roman"/>
          <w:sz w:val="14"/>
          <w:szCs w:val="14"/>
          <w:color w:val="auto"/>
        </w:rPr>
        <w:t xml:space="preserve"> review at the USPTO and opposition at the EPO. The matters are resolved, but in possible future proceedings, there can be no assurance that all claims of the challenged patents will be upheld or that the patents challenged by us will be found infringed. We may lose any of the challenged patents entirely, or we may have to amend the scope of claims to an extent which</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5" w:name="page56"/>
    <w:bookmarkEnd w:id="55"/>
    <w:p>
      <w:pPr>
        <w:jc w:val="both"/>
        <w:spacing w:after="0" w:line="284" w:lineRule="auto"/>
        <w:rPr>
          <w:sz w:val="20"/>
          <w:szCs w:val="20"/>
          <w:color w:val="auto"/>
        </w:rPr>
      </w:pPr>
      <w:r>
        <w:rPr>
          <w:rFonts w:ascii="Times New Roman" w:cs="Times New Roman" w:eastAsia="Times New Roman" w:hAnsi="Times New Roman"/>
          <w:sz w:val="14"/>
          <w:szCs w:val="14"/>
          <w:color w:val="auto"/>
        </w:rPr>
        <w:t>may be considered insufficient to cover our products or product candidates. If any of those scenarios were to occur, we might lose our competitive advantage in our market, and our business could be materially affected.</w:t>
      </w:r>
    </w:p>
    <w:p>
      <w:pPr>
        <w:spacing w:after="0" w:line="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6"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Third parties may commence legal proceedings alleging that we are infringing their intellectual property rights, the outcome of which would be uncertain and could have a negative impact on the success of our business.</w:t>
      </w: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Our commercial success depends, in part, upon our ability, and the ability of our existing and future collaborators, to develop, manufacture, market and sell our products and product candidates, if approved, and use our proprietary technologies without alleged or actual infringement, misappropriation or other violation of the patents and proprietary rights of third parties. There have been many lawsuits and other proceedings involving patent and other intellectual property rights in the biotechnology and pharmaceutical industries. Numerous U.S. and foreign issued patents and pending patent applications, which are owned by third parties, exist in the fields in which we are developing product candidates. In addition, patent holding companies that focus solely on extracting royalties and settlements by enforcing patent rights may target us.</w:t>
      </w:r>
    </w:p>
    <w:p>
      <w:pPr>
        <w:spacing w:after="0" w:line="1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4"/>
          <w:szCs w:val="14"/>
          <w:color w:val="auto"/>
        </w:rPr>
        <w:t xml:space="preserve">We may have been and in the future may become party to or be threatened with adversarial proceedings or litigation regarding intellectual property rights with respect to our products, product candidates and technology, which may include interference or derivation proceedings, post grant review and </w:t>
      </w:r>
      <w:r>
        <w:rPr>
          <w:rFonts w:ascii="Times New Roman" w:cs="Times New Roman" w:eastAsia="Times New Roman" w:hAnsi="Times New Roman"/>
          <w:sz w:val="14"/>
          <w:szCs w:val="14"/>
          <w:i w:val="1"/>
          <w:iCs w:val="1"/>
          <w:color w:val="auto"/>
        </w:rPr>
        <w:t>inter partes</w:t>
      </w:r>
      <w:r>
        <w:rPr>
          <w:rFonts w:ascii="Times New Roman" w:cs="Times New Roman" w:eastAsia="Times New Roman" w:hAnsi="Times New Roman"/>
          <w:sz w:val="14"/>
          <w:szCs w:val="14"/>
          <w:color w:val="auto"/>
        </w:rPr>
        <w:t xml:space="preserve"> review before the USPTO or similar adversarial proceedings or litigation in any jurisdiction. Similarly, we or our licensors or collaborators have initiated, and in the future may initiate, such proceedings or litigation against third parties, which may include challenging the validity or scope of intellectual property rights controlled by third parties. Third parties have asserted and, in the future, may assert infringement claims against us based on existing patents or patents that may be granted in the future, regardless of their merit. There is a risk that additional third parties may choose to engage in litigation with us to enforce or to otherwise assert their patent rights against us. Even if we believe any of those claims are without merit, a court of competent jurisdiction could hold that these third-party patents are valid, enforceable and infringed, and the holders of any such patents may be able to block our ability to commercialize such product or product candidates unless we obtain a license under the applicable patents, or until such patents expire or are finally determined to be invalid or unenforceable. Similarly, if any third-party patents were held by a court of competent jurisdiction to cover aspects of our technology, holders of any such patents may be able to block our ability to develop and commercialize the applicable product or product candidate unless we obtained a license or until such patent expires or is finally determined to be invalid, unenforceable or not infringed by our product or technology. In either case, such a license may not be available on commercially reasonable terms, or at all. Even if we were able to obtain a license, it could be non-exclusive, thereby giving our competitors access to the same technologies licensed to us. Furthermore, even in the absence of litigation, we may need or may choose to obtain licenses from third parties to advance our research or allow commercialization of our product candidates. We may fail to obtain any of these licenses at a reasonable cost or on reasonable terms, if at all. In such event, we may be unable to further practice our technologies or develop and commercialize any of our product candidates at issue, which could significantly harm our business.</w:t>
      </w:r>
    </w:p>
    <w:p>
      <w:pPr>
        <w:spacing w:after="0" w:line="19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Parties making claims against us may obtain injunctive or other equitable relief, which could effectively block our ability to further develop and commercialize one or more of our product candidates, if approved. Defense of these claims, regardless of their merit, could involve substantial litigation expense and a substantial diversion of employee resources from our business. Third parties making such claims may have the ability to dedicate substantially greater resources to these legal actions than we or our licensors or collaborators can.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4" w:lineRule="exact"/>
        <w:rPr>
          <w:sz w:val="20"/>
          <w:szCs w:val="20"/>
          <w:color w:val="auto"/>
        </w:rPr>
      </w:pPr>
    </w:p>
    <w:p>
      <w:pPr>
        <w:jc w:val="both"/>
        <w:ind w:firstLine="287"/>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The patents and patent applications that we have covering our products and product candidates are limited to specific formulations and manufacturing processes, and our market opportunity for our products and product candidates may be limited by the lack of patent protection for the active ingredients and by competition from other formulations and manufacturing processes, as well as administration methods that may be developed by competitors</w:t>
      </w:r>
      <w:r>
        <w:rPr>
          <w:rFonts w:ascii="Times New Roman" w:cs="Times New Roman" w:eastAsia="Times New Roman" w:hAnsi="Times New Roman"/>
          <w:sz w:val="14"/>
          <w:szCs w:val="14"/>
          <w:b w:val="1"/>
          <w:bCs w:val="1"/>
          <w:color w:val="auto"/>
        </w:rPr>
        <w:t>.</w:t>
      </w:r>
    </w:p>
    <w:p>
      <w:pPr>
        <w:spacing w:after="0" w:line="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have obtained and continue to seek to obtain patent protection for our manufacturing technology, drug administering technology and our products and product candidates, including specific formulations and manufacturing processes, which may not be as effective as composition of matter coverage in preventing work-arounds by competitors. As a result, generic products that do not infringe the claims of our issued patents covering formulations and processes are, or may be, available while we are marketing our products. Competitors who obtain the requisite regulatory approval will be able to commercialize products with the same active ingredients as our products or product candidates so long as the competitors do not infringe any process, use or formulation patents that we have developed for our products or product candidates, subject to any regulatory exclusivity we may be able to obtain for our products.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6" w:name="page57"/>
    <w:bookmarkEnd w:id="56"/>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number of patents and patent applications covering products containing the same active ingredient as our products or product candidates indicates that competitors have sought to develop and may seek to commercialize competing formulations that may not be covered by our patents and patent applications. The commercial opportunity for our products or product candidates could be significantly harmed if competitors are able to develop and commercialize alternative formulations of our products or product candidates that are different from ours and do not infringe our issued patents covering our products or use of our products.</w:t>
      </w:r>
    </w:p>
    <w:p>
      <w:pPr>
        <w:spacing w:after="0" w:line="1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Suboxone, Ondif, Sympazan, Libervant and Emylif have been commercialized by us or our licensees at different times and in different geographies, and other product candidates may be approved by the FDA and other regulatory bodies in the future. As additional products of ours are on the market, one or more third parties may also challenge the patents that we control covering our products, which could result in the invalidation or unenforceability of some or all of the relevant patent claims of our issued patents covering our products.</w:t>
      </w:r>
    </w:p>
    <w:p>
      <w:pPr>
        <w:spacing w:after="0" w:line="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If we or one of our licensees initiated legal proceedings against a third-party to enforce a patent covering one of our products or product candidates, the defendant could counterclaim, and have in certain existing proceedings counterclaimed, that the patent covering our product or product candidate is invalid and/or unenforceable. In patent litigation in the United States, defendant counterclaims alleging invalidity and/or unenforceability are common,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post-grant review, and equivalent proceedings in foreign jurisdictions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xml:space="preserve"> opposition proceedings). Such proceedings could result in revocation of or amendment to our patents in such a way that they no longer cover our products or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products or product candidates. Such a loss of patent protection could have a material adverse impact on our business.</w:t>
      </w:r>
    </w:p>
    <w:p>
      <w:pPr>
        <w:spacing w:after="0" w:line="189"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Periodic maintenance fees, renewal fees, annuity fees and various other government fees on patents and/or applications will be due to be paid to the USPTO and various government patent agencies outside of the United States over the lifetime of our owned and licensed patents and/or applications and any patent rights we may own or license in the future. We rely on our outside counsel or our licensees to monitor the status of these fees so that we may make required payments of these fees when due to non-U.S. patent agencies. The USPTO and various non-U.S. government patent agencies require compliance with several procedural, documentary, fee payment and other similar provisions during the patent application process. We employ reputable law firms and other professionals to help us comply and we are also dependent on our licensors to take the necessary action to comply with these requirements with respect to our licensed intellectual property. In many cases, an inadvertent lapse can be cured by payment of a late fee or by other means in accordance with the applicable rules. There are situations, however, in which non-compliance can result in abandonment or lapse of the patents or patent applications, resulting in partial or complete loss of patent rights in the relevant jurisdiction. In such an event, potential competitors might be able to enter the market which could harm our business.</w:t>
      </w:r>
    </w:p>
    <w:p>
      <w:pPr>
        <w:spacing w:after="0" w:line="19"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drug development strategy relies heavily upon the 505(b)(2) regulatory pathway, which requires us to certify that we do not infringe upon third-party patents covering approved drugs. Such certifications typically result in third-party claims of intellectual property infringement, the defense of which will be costly and time-consuming, and an unfavorable outcome in any litigation may prevent or delay our development and commercialization efforts which would harm our business.</w:t>
      </w:r>
    </w:p>
    <w:p>
      <w:pPr>
        <w:spacing w:after="0" w:line="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Litigation or other proceedings to enforce or defend intellectual property rights are often complex in nature, may be very expensive and time-consuming, may divert our management’s attention from other aspects of our business and may result in unfavorable outcomes that could adversely impact our ability to launch and market our product candidates, or to prevent third parties from competing with our products and product candidates.</w:t>
      </w:r>
    </w:p>
    <w:p>
      <w:pPr>
        <w:spacing w:after="0" w:line="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There is a substantial amount of litigation, both within and outside the United States, involving patent and other intellectual property rights in the biotechnology and pharmaceutical industries, including patent infringement lawsuits, interferences, oppositions and inter party reexamination proceedings before the USPTO. Numerous United States and foreign issued patents and pending patent applications, which are owned by third parties, exist in the fields in which we and our collaborators are developing product candidates. As the biotechnology and pharmaceutical industries expand and more patents are issued, the risk increases that our product candidates may be subject to claims of infringement of the patent rights of third parties.</w:t>
      </w:r>
    </w:p>
    <w:p>
      <w:pPr>
        <w:spacing w:after="0" w:line="13"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Our commercial success depends in large part on our avoiding infringement of the patents and proprietary rights of third parties for existing approved drug products. Because we utilize the 505(b)(2) regulatory pathway for the approval of our</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57" w:name="page58"/>
    <w:bookmarkEnd w:id="57"/>
    <w:p>
      <w:pPr>
        <w:jc w:val="both"/>
        <w:spacing w:after="0" w:line="257" w:lineRule="auto"/>
        <w:rPr>
          <w:sz w:val="20"/>
          <w:szCs w:val="20"/>
          <w:color w:val="auto"/>
        </w:rPr>
      </w:pPr>
      <w:r>
        <w:rPr>
          <w:rFonts w:ascii="Times New Roman" w:cs="Times New Roman" w:eastAsia="Times New Roman" w:hAnsi="Times New Roman"/>
          <w:sz w:val="14"/>
          <w:szCs w:val="14"/>
          <w:color w:val="auto"/>
        </w:rPr>
        <w:t>products and product candidates, we rely in whole or in part on studies conducted by third parties related to those approved drug products. As a result, upon filing with the FDA for approval of our product candidates, we will be required to certify to the FDA that either: (1) there is no patent information listed in the FDA’s Orange Book with respect to our NDA; (2) the patents listed in the Orange Book have expired; (3) the listed patents have not expired, but will expire on a particular date and approval is sought after patent expiration; or (4) the listed patents are invalid or will not be infringed by the manufacture, use or sale of our proposed drug product. When we submit a paragraph IV certification to the FDA, a notice of the paragraph IV certification must also be sent to the patent owner once our 505(b)(2) NDA is accepted for filing by the FDA. The third-party may then initiate a lawsuit against us to defend the patents identified in the notice. The filing of a patent infringement lawsuit within 45 days of receipt of the notice automatically prevents the FDA from approving our NDA until the earliest of 30 months or the date on which the patent expires, the lawsuit is settled, or the court reaches a decision in the infringement lawsuit in our favor. If the third-party does not file a patent infringement lawsuit within the required 45-day period, our NDA will not be subject to the 30-month stay.</w:t>
      </w:r>
    </w:p>
    <w:p>
      <w:pPr>
        <w:spacing w:after="0" w:line="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In addition to paragraph IV litigation noted above, third-party owners of patents may generally assert that we are employing their proprietary technology without authorization. There may be third-party patents or patent applications with claims to materials, formulations or methods of manufacture related to the use or manufacture of our product candidates. Because patent applications can take many years to issue, there may be currently pending or subsequently filed patent applications which may later result in issued patents that may be infringed by our products or product candidates. If any third-party patents were held by a court of competent jurisdiction to cover aspects of our product candidates, including the formulation, any method or process involved in the manufacture of any of our product candidates, any molecules or intermediates formed during such manufacturing process or any other attribute of the final product itself, the holders of any such patents may be able to block our ability to commercialize our product candidates unless we obtain a license under the applicable patents, or until such patents expire. In either case, such a license may not be available on commercially reasonable terms or at all.</w:t>
      </w:r>
    </w:p>
    <w:p>
      <w:pPr>
        <w:spacing w:after="0" w:line="19"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4"/>
          <w:szCs w:val="14"/>
          <w:color w:val="auto"/>
        </w:rPr>
        <w:t>Our success will depend in part on our ability to operate without infringing the intellectual property and proprietary rights of third parties. We cannot assure you that our business, products, product candidates and methods do not or will not infringe the patents or other intellectual property rights of third parties.</w:t>
      </w:r>
    </w:p>
    <w:p>
      <w:pPr>
        <w:spacing w:after="0" w:line="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Parties making claims against us may request and/or obtain injunctive or other equitable relief, which could effectively block our ability to further develop and commercialize one or more of our product candidates on a temporary or permanent basis. Defense of these claims, regardless of their merit, involves substantial litigation expense and could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or manufacturing processes,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manufacture clinical trial supplies or allow commercialization of our product candidates. We may fail to obtain any of these licenses at a reasonable cost or on reasonable terms, if at all. In that event, we would be unable to further develop and commercialize one or more of our products or product candidates, which could harm our business significantly. We cannot provide any assurances that third-party patents do not exist which might be enforced against our products or product candidates, resulting in either an injunction prohibiting our sales, or, with respect to our sales, an obligation on our part to pay royalties and/or other forms of compensation to third parties.</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claims challenging the inventorship or ownership of our patents and other intellectual property.</w:t>
      </w:r>
    </w:p>
    <w:p>
      <w:pPr>
        <w:spacing w:after="0" w:line="5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may also be subject to claims that former employees, collaborators or other third parties have an ownership interest in our patents or other intellectual property. We may be subject to ownership disputes in the future arising, for example,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generally involves substantial costs and can be a distraction to management and other employees.</w:t>
      </w:r>
    </w:p>
    <w:p>
      <w:pPr>
        <w:spacing w:after="0" w:line="14"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we are not able to obtain adequate trademark protection or regulatory approval for our brand names, we may be required to re-brand affected products, which could cause delays in getting such product to market, substantively impact successful commercialization of any such product and substantially increasing our costs.</w:t>
      </w: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To protect our rights in any trademark we use or intend to use for our products or our product candidates, we may seek to register such trademarks. Trademark registration is territory-specific and we must apply for trademark registration in the United States as well as any other country where we intend to commercialize our product or product candidates. Failure to obtain trademark registrations may place our use of the trademarks at risk or make them subject to legal challenges, which could force us to choose alternative names for our product or product candidates. In addition, the FDA and other regulatory</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8" w:name="page59"/>
    <w:bookmarkEnd w:id="58"/>
    <w:p>
      <w:pPr>
        <w:jc w:val="both"/>
        <w:spacing w:after="0" w:line="257" w:lineRule="auto"/>
        <w:rPr>
          <w:sz w:val="20"/>
          <w:szCs w:val="20"/>
          <w:color w:val="auto"/>
        </w:rPr>
      </w:pPr>
      <w:r>
        <w:rPr>
          <w:rFonts w:ascii="Times New Roman" w:cs="Times New Roman" w:eastAsia="Times New Roman" w:hAnsi="Times New Roman"/>
          <w:sz w:val="14"/>
          <w:szCs w:val="14"/>
          <w:color w:val="auto"/>
        </w:rPr>
        <w:t>authorities outside the United States conduct independent reviews of proposed product names for pharmaceuticals, including an evaluation of the potential for confusion with other pharmaceutical product names for medications. These regulatory authorities may also object to a proposed product name if they believe the name inappropriately makes or implies a therapeutic claim. If the FDA or other regulatory authorities outside the United States object to any of our proposed product names, we may be required to adopt alternative names for our product or product candidates. If we adopt alternative names, either because of our inability to obtain a trademark registration or because of objections from regulatory authorities, we would lose the benefit of our existing trademark applications. As a result, we may be required to expend significant additional resources in an effort to adopt a new product name that would be registrable under applicable trademark laws, not infringe the existing rights of third parties and be acceptable to the FDA and other regulatory authorities, which could adversely impact our product brand identity and successful commercialization of any product and increase our costs. Furthermore, we may not be able to build a successful brand identity for a new trademark in a timely manner or at all, which would limit our ability to commercialize our product or our product candidates.</w:t>
      </w:r>
    </w:p>
    <w:p>
      <w:pPr>
        <w:spacing w:after="0" w:line="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Intellectual property rights do not necessarily address all potential threats to our competitive advantage.</w:t>
      </w:r>
    </w:p>
    <w:p>
      <w:pPr>
        <w:spacing w:after="0" w:line="53"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4"/>
          <w:szCs w:val="14"/>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 w:lineRule="exact"/>
        <w:rPr>
          <w:sz w:val="20"/>
          <w:szCs w:val="20"/>
          <w:color w:val="auto"/>
        </w:rPr>
      </w:pPr>
    </w:p>
    <w:p>
      <w:pPr>
        <w:ind w:left="760" w:hanging="246"/>
        <w:spacing w:after="0"/>
        <w:tabs>
          <w:tab w:leader="none" w:pos="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be able to make products that are similar to our products or product candidates but that are not covered by the claims of the patents that we own or have exclusively licensed;</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any potential future licensors might not have been the first to file patent applications covering certain of our inventions;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independently develop similar or alternative technologies or duplicate any of our technologies without infringing our intellectual property rights;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possible that our pending patent applications will not lead to issued patents;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patents that we own or have exclusively licensed may be held invalid or unenforceable as a result of legal challenges by our competitors;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patents that we own or have exclusively licensed may not provide coverage for all aspects of our products or product candidates in all countries;</w:t>
      </w:r>
    </w:p>
    <w:p>
      <w:pPr>
        <w:spacing w:after="0" w:line="51" w:lineRule="exact"/>
        <w:rPr>
          <w:rFonts w:ascii="Times New Roman" w:cs="Times New Roman" w:eastAsia="Times New Roman" w:hAnsi="Times New Roman"/>
          <w:sz w:val="14"/>
          <w:szCs w:val="14"/>
          <w:color w:val="auto"/>
        </w:rPr>
      </w:pPr>
    </w:p>
    <w:p>
      <w:pPr>
        <w:ind w:left="760" w:hanging="246"/>
        <w:spacing w:after="0" w:line="284" w:lineRule="auto"/>
        <w:tabs>
          <w:tab w:leader="none" w:pos="75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competitors might conduct R&amp;D activities in countries where we do not have patent rights and then use the information learned from such activities to develop competitive products for sale in our major commercial markets;</w:t>
      </w:r>
    </w:p>
    <w:p>
      <w:pPr>
        <w:ind w:left="760" w:hanging="246"/>
        <w:spacing w:after="0"/>
        <w:tabs>
          <w:tab w:leader="none" w:pos="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develop additional proprietary technologies that are patentable; and</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patents of others may have an adverse effect on our business.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Should any of these events occur, they could significantly harm our business, results of operations and prospects.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Our Common Stock</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Our quarterly operating results may fluctuate significantly, and these fluctuations could cause our stock price to decline.</w:t>
      </w:r>
    </w:p>
    <w:p>
      <w:pPr>
        <w:spacing w:after="0" w:line="53" w:lineRule="exact"/>
        <w:rPr>
          <w:sz w:val="20"/>
          <w:szCs w:val="20"/>
          <w:color w:val="auto"/>
        </w:rPr>
      </w:pPr>
    </w:p>
    <w:p>
      <w:pPr>
        <w:ind w:firstLine="509"/>
        <w:spacing w:after="0" w:line="284" w:lineRule="auto"/>
        <w:rPr>
          <w:sz w:val="20"/>
          <w:szCs w:val="20"/>
          <w:color w:val="auto"/>
        </w:rPr>
      </w:pPr>
      <w:r>
        <w:rPr>
          <w:rFonts w:ascii="Times New Roman" w:cs="Times New Roman" w:eastAsia="Times New Roman" w:hAnsi="Times New Roman"/>
          <w:sz w:val="14"/>
          <w:szCs w:val="14"/>
          <w:color w:val="auto"/>
        </w:rPr>
        <w:t>We expect our operating results to continue to be subject to significant quarterly and annual fluctuations. These fluctuations could cause our stock price to decline. Our net loss and other operating results will be affected by numerous factors, including:</w:t>
      </w:r>
    </w:p>
    <w:p>
      <w:pPr>
        <w:spacing w:after="0" w:line="1" w:lineRule="exact"/>
        <w:rPr>
          <w:sz w:val="20"/>
          <w:szCs w:val="20"/>
          <w:color w:val="auto"/>
        </w:rPr>
      </w:pPr>
    </w:p>
    <w:p>
      <w:pPr>
        <w:ind w:left="760" w:hanging="246"/>
        <w:spacing w:after="0" w:line="284" w:lineRule="auto"/>
        <w:tabs>
          <w:tab w:leader="none" w:pos="75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FDA requires us to complete additional, unanticipated studies, trials or other activities prior to approving any of our current and future product candidates, which would likely delay any such approval;</w:t>
      </w:r>
    </w:p>
    <w:p>
      <w:pPr>
        <w:ind w:left="760" w:hanging="246"/>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execution of other collaborative, licensing or similar arrangements and the timing of payments we may make or receive under these arrangements;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limited cash resources and substantial indebtedness;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variations in the level of expenses related to our future development programs;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product liability or intellectual property infringement lawsuit in which we may become involved;</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obtaining, failure to obtain, or adverse developments in obtaining FDA and other regulatory approval of our product candidates;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regulatory developments affecting any of our other current and future product candidates, or the product candidates of our competitors;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pre-commercialization and commercialization of any of our approved products that we market ourselves; and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9" w:name="page60"/>
    <w:bookmarkEnd w:id="59"/>
    <w:p>
      <w:pPr>
        <w:ind w:left="760" w:hanging="246"/>
        <w:spacing w:after="0"/>
        <w:tabs>
          <w:tab w:leader="none" w:pos="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of our current or future product candidates receive regulatory approval, the level of underlying demand for such product candidate and wholesaler buying patterns.</w:t>
      </w:r>
    </w:p>
    <w:p>
      <w:pPr>
        <w:spacing w:after="0" w:line="51" w:lineRule="exact"/>
        <w:rPr>
          <w:sz w:val="20"/>
          <w:szCs w:val="20"/>
          <w:color w:val="auto"/>
        </w:rPr>
      </w:pPr>
    </w:p>
    <w:p>
      <w:pPr>
        <w:jc w:val="both"/>
        <w:ind w:firstLine="509"/>
        <w:spacing w:after="0" w:line="283" w:lineRule="auto"/>
        <w:rPr>
          <w:sz w:val="20"/>
          <w:szCs w:val="20"/>
          <w:color w:val="auto"/>
        </w:rPr>
      </w:pPr>
      <w:r>
        <w:rPr>
          <w:rFonts w:ascii="Times New Roman" w:cs="Times New Roman" w:eastAsia="Times New Roman" w:hAnsi="Times New Roman"/>
          <w:sz w:val="14"/>
          <w:szCs w:val="14"/>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w:t>
      </w: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Our largest stockholder and management own a significant percentage of our stock and may have the ability to effectively influence matters subject to stockholder approval.</w:t>
      </w:r>
    </w:p>
    <w:p>
      <w:pPr>
        <w:spacing w:after="0" w:line="53"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4"/>
          <w:szCs w:val="14"/>
          <w:color w:val="auto"/>
        </w:rPr>
        <w:t>As of December 31, 2025, our executive officers and directors beneficially owned approximately 5.8% of our outstanding common stock. In addition, Bratton Capital Management L.P. and its affiliates beneficially owned, directly, approximately 7.9% of our outstanding common stock as of December 31, 2025. Therefore, these stockholders may have, through their respective ownership positions, the ability to influence matters requiring stockholder approval, including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Our ability to use our net operating loss carryforwards and certain other tax attributes may be limited.</w:t>
      </w:r>
    </w:p>
    <w:p>
      <w:pPr>
        <w:spacing w:after="0" w:line="53"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We have incurred substantial losses since the inception of our company and do not expect to become profitable in the near future, if ever. Under currently enacted federal income tax law, to the extent that we continue to generate taxable losses in future years, such unused losses will carry forward to offset future taxable income, if any, but our deductibility of such losses in a future year is generally limited to 80% of taxable income. Furthermore, under Section 382 of the Code, if a corporation undergoes an “ownership change,” generally defined as a greater than 50% change (by value) in its equity ownership over a three-year period, the corporation’s ability to use its pre-change net operating loss carryforwards and other pre-change tax attributes, such as research tax credits, to offset its post-change income may be further limited. We believe that, with our initial public offering, we may have triggered an “ownership change” limitation. In addition, we have experienced and may experience ownership changes in the future as a result of subsequent shifts in our stock ownership, including an ownership change as a result of the combined effect of our initial public offering and future equity offerings. As a result, if we earn net taxable income, our ability to use our pre-change net operating loss carryforwards to offset United States federal taxable income may be subject to limitations, which could potentially result in increased future tax liability to us.</w:t>
      </w:r>
    </w:p>
    <w:p>
      <w:pPr>
        <w:spacing w:after="0" w:line="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on our Common Stock so any returns will be limited to the value of our stock.</w:t>
      </w:r>
    </w:p>
    <w:p>
      <w:pPr>
        <w:spacing w:after="0" w:line="53" w:lineRule="exact"/>
        <w:rPr>
          <w:sz w:val="20"/>
          <w:szCs w:val="20"/>
          <w:color w:val="auto"/>
        </w:rPr>
      </w:pPr>
    </w:p>
    <w:p>
      <w:pPr>
        <w:jc w:val="both"/>
        <w:ind w:firstLine="509"/>
        <w:spacing w:after="0" w:line="283" w:lineRule="auto"/>
        <w:rPr>
          <w:sz w:val="20"/>
          <w:szCs w:val="20"/>
          <w:color w:val="auto"/>
        </w:rPr>
      </w:pPr>
      <w:r>
        <w:rPr>
          <w:rFonts w:ascii="Times New Roman" w:cs="Times New Roman" w:eastAsia="Times New Roman" w:hAnsi="Times New Roman"/>
          <w:sz w:val="14"/>
          <w:szCs w:val="14"/>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jc w:val="both"/>
        <w:ind w:firstLine="255"/>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Provisions in our amended and restated certificate of incorporation and amended and restated bylaws, as well as provisions of Delaware law, could make it more difficult for a third-party to acquire us, or may increase the cost of acquiring us, even if doing so would benefit our stockholders, or remove our current management.</w:t>
      </w:r>
    </w:p>
    <w:p>
      <w:pPr>
        <w:jc w:val="both"/>
        <w:ind w:firstLine="509"/>
        <w:spacing w:after="0" w:line="284" w:lineRule="auto"/>
        <w:rPr>
          <w:sz w:val="20"/>
          <w:szCs w:val="20"/>
          <w:color w:val="auto"/>
        </w:rPr>
      </w:pPr>
      <w:r>
        <w:rPr>
          <w:rFonts w:ascii="Times New Roman" w:cs="Times New Roman" w:eastAsia="Times New Roman" w:hAnsi="Times New Roman"/>
          <w:sz w:val="14"/>
          <w:szCs w:val="14"/>
          <w:color w:val="auto"/>
        </w:rPr>
        <w:t>Some provisions of our charter documents and Delaware law may have anti-takeover effects that could discourage an acquisition of us by others, even if an acquisition would be beneficial to our stockholders and may prevent attempts by our stockholders to replace or remove our current management. These provisions include:</w:t>
      </w:r>
    </w:p>
    <w:p>
      <w:pPr>
        <w:spacing w:after="0" w:line="1" w:lineRule="exact"/>
        <w:rPr>
          <w:sz w:val="20"/>
          <w:szCs w:val="20"/>
          <w:color w:val="auto"/>
        </w:rPr>
      </w:pPr>
    </w:p>
    <w:p>
      <w:pPr>
        <w:ind w:left="760" w:hanging="246"/>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authorizing the issuance of “blank check” preferred stock, the terms of which may be established and shares of which may be issued without stockholder approval;</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the removal of directors by the stockholders;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creating a classified board of directors;</w:t>
      </w:r>
    </w:p>
    <w:p>
      <w:pPr>
        <w:spacing w:after="0" w:line="51" w:lineRule="exact"/>
        <w:rPr>
          <w:rFonts w:ascii="Times New Roman" w:cs="Times New Roman" w:eastAsia="Times New Roman" w:hAnsi="Times New Roman"/>
          <w:sz w:val="14"/>
          <w:szCs w:val="14"/>
          <w:color w:val="auto"/>
        </w:rPr>
      </w:pPr>
    </w:p>
    <w:p>
      <w:pPr>
        <w:ind w:left="760" w:hanging="246"/>
        <w:spacing w:after="0" w:line="284" w:lineRule="auto"/>
        <w:tabs>
          <w:tab w:leader="none" w:pos="75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a supermajority stockholder vote requirement for amending certain provisions of our amended and restated certificate of incorporation and of our amended and restated bylaws;</w:t>
      </w:r>
    </w:p>
    <w:p>
      <w:pPr>
        <w:ind w:left="760" w:hanging="246"/>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prohibiting stockholder action by written consent, thereby requiring all stockholder actions to be taken at a meeting of our stockholders;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eliminating the ability of stockholders to call a special meeting of stockholders; and</w:t>
      </w:r>
    </w:p>
    <w:p>
      <w:pPr>
        <w:spacing w:after="0" w:line="51" w:lineRule="exact"/>
        <w:rPr>
          <w:rFonts w:ascii="Times New Roman" w:cs="Times New Roman" w:eastAsia="Times New Roman" w:hAnsi="Times New Roman"/>
          <w:sz w:val="14"/>
          <w:szCs w:val="14"/>
          <w:color w:val="auto"/>
        </w:rPr>
      </w:pPr>
    </w:p>
    <w:p>
      <w:pPr>
        <w:ind w:left="760" w:hanging="246"/>
        <w:spacing w:after="0" w:line="284" w:lineRule="auto"/>
        <w:tabs>
          <w:tab w:leader="none" w:pos="75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advance notice and other requirements, including compliance with the SEC Universal Proxy Rules, for nominations for election to the board of directors or for proposing matters that can be acted upon at stockholder meetings.</w:t>
      </w:r>
    </w:p>
    <w:p>
      <w:pPr>
        <w:spacing w:after="0" w:line="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we are subject to Section 203 of the Delaware General Corporation Law, which generally prohibits a Delaware corporation from engaging in any of a broad range of business combinations with an interested stockholder for a period of three years following the date on which the stockholder became an interested stockholder,</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60" w:name="page61"/>
    <w:bookmarkEnd w:id="60"/>
    <w:p>
      <w:pPr>
        <w:jc w:val="both"/>
        <w:spacing w:after="0" w:line="283" w:lineRule="auto"/>
        <w:rPr>
          <w:sz w:val="20"/>
          <w:szCs w:val="20"/>
          <w:color w:val="auto"/>
        </w:rPr>
      </w:pPr>
      <w:r>
        <w:rPr>
          <w:rFonts w:ascii="Times New Roman" w:cs="Times New Roman" w:eastAsia="Times New Roman" w:hAnsi="Times New Roman"/>
          <w:sz w:val="14"/>
          <w:szCs w:val="14"/>
          <w:color w:val="auto"/>
        </w:rPr>
        <w:t>unless such transactions are approved by our board of directors. This provision could have the effect of delaying or preventing a change of control, whether or not it is desired by or beneficial to our stockholders. Further, other provisions of Delaware law may also discourage, delay or prevent someone from acquiring us or merging with us.</w:t>
      </w:r>
    </w:p>
    <w:p>
      <w:pPr>
        <w:jc w:val="both"/>
        <w:ind w:firstLine="255"/>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subject to limited exceptions, the Court of Chancery of the State of Delaware will be the sole and exclusive forum for any derivative action or proceeding brought on our behalf, any action asserting a claim of breach of a fiduciary duty owed by any of our directors, officers or other employees to us or our stockholders, any action asserting a claim against us arising pursuant to any provision of the Delaware General Corporation Law, our amended and restated certificate of incorporation or our amended and restated bylaws, any action to interpret, apply, enforce or determine the validity of our certificate of incorporation or our amended and restated bylaws or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51"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Public health threats such as a global pandemic, or widespread outbreak of infectious disease, similar to the COVID-19 pandemic, may create uncertainties about our future operating results and financial conditions.</w:t>
      </w: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Public health threats, such as the COVID-19 or any other pandemic, may have an impact on our business, financial condition, results of operations and cash flows. Prolonged volatility or significant disruption of global financial markets due in part to a public health threat could have a negative impact on our business and overall financial position. Other factors and uncertainties include, but are not limited to, increased operational costs associated with operating during and after a pandemic; evolving macroeconomic factors, including general economic uncertainty, increased labor costs, and recessionary pressures; capital and other resources needed to respond to a pandemic; along with the severity and duration of a pandemic. These risks and their impacts are difficult to predict and could continue to otherwise disrupt and adversely affect our operations and our financial performance.</w:t>
      </w:r>
    </w:p>
    <w:p>
      <w:pPr>
        <w:spacing w:after="0" w:line="16" w:lineRule="exact"/>
        <w:rPr>
          <w:sz w:val="20"/>
          <w:szCs w:val="20"/>
          <w:color w:val="auto"/>
        </w:rPr>
      </w:pPr>
    </w:p>
    <w:p>
      <w:pPr>
        <w:jc w:val="both"/>
        <w:ind w:firstLine="255"/>
        <w:spacing w:after="0" w:line="283" w:lineRule="auto"/>
        <w:rPr>
          <w:sz w:val="20"/>
          <w:szCs w:val="20"/>
          <w:color w:val="auto"/>
        </w:rPr>
      </w:pPr>
      <w:r>
        <w:rPr>
          <w:rFonts w:ascii="Times New Roman" w:cs="Times New Roman" w:eastAsia="Times New Roman" w:hAnsi="Times New Roman"/>
          <w:sz w:val="14"/>
          <w:szCs w:val="14"/>
          <w:color w:val="auto"/>
        </w:rPr>
        <w:t>In addition, to the extent a global health crisis, epidemic or pandemic, such as theCOVID-19 pandemic, adversely affects our business, financial condition and results of operations, it may also have the effect of heightening many of the other risks described in this “Risk Factors” section.</w:t>
      </w: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Our future success depends on our ability to retain key executives and to attract, retain and motivate qualified personnel.</w:t>
      </w:r>
    </w:p>
    <w:p>
      <w:pPr>
        <w:spacing w:after="0" w:line="5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are highly dependent on the principal members of our executive team and other key executives, the loss of whose services may adversely impact the achievement of our objectives. Any of our executive officers could leave our employment at any time. Recruiting and retaining other qualified employees for our business, including scientific and technical personnel, will also be critical to our success. Competition for skilled personnel is intense and the turnover rate can be high. We may not be able to attract and retain personnel on acceptable terms given the competition among numerous pharmaceutical companies for individuals with similar skill sets. In addition, failure to succeed in clinical studies may make it more challenging to recruit and retain qualified personnel. The inability to recruit key executives or the loss of the services of any executive or key employee might impede the progress of our development and commercialization objectives.</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Under applicable employment laws, we may not be able to enforce covenants not to compete.</w:t>
      </w:r>
    </w:p>
    <w:p>
      <w:pPr>
        <w:spacing w:after="0" w:line="53"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Certain of our executive officers’ employment agreements include covenants not to compete. These agreements prohibit our executive officers, if they cease working for us, from competing directly with us or working for our competitors for a limited period. We may be unable to enforce these agreements or may not be able to enforce these agreements to their full extent under applicable law. If we cannot demonstrate that our interests would be harmed by such competitive behavior, we may be unable to prevent our competitors from benefiting from the expertise of our former executives and our competitiveness may be diminished.</w:t>
      </w:r>
    </w:p>
    <w:p>
      <w:pPr>
        <w:spacing w:after="0" w:line="11"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Compliance with ever evolving federal, state, and foreign laws relating to handling of information about individuals involves significant expenditure and resources, and any failure by us or our vendors to comply may result in significant liability, negative publicity, and/or an erosion of trust, and could materially adversely affect our business, results of operations, and financial condition.</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61" w:name="page62"/>
    <w:bookmarkEnd w:id="61"/>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receive, store, handle, transmit, use and otherwise process information related to individuals. We also depend on a number of third-party vendors in relation to the operation of our business, a number of which process data on our behalf. We and our vendors are subject to a variety of federal, state and foreign data privacy laws, rules, regulations, industry standards and other requirements, including those that apply generally to the handling of information about individuals, and those that are specific to certain industries, sectors, contexts, or locations. These requirements, and their application, interpretation and amendment are constantly evolving and developing.</w:t>
      </w:r>
    </w:p>
    <w:p>
      <w:pPr>
        <w:spacing w:after="0" w:line="1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the United States, numerous federal and state laws, including state data breach notification laws and state health information privacy laws, govern the collection, use, and disclosure and protection of health-related and other personal information. The Federal Trade Commission and state regulators enforce a variety of data privacy issues, such as promises made in privacy policies or failures to appropriately protect information about individuals, as unfair or deceptive acts or practices in or affecting commerce in violation of the Federal Trade Commission Act or similar state laws.</w:t>
      </w:r>
    </w:p>
    <w:p>
      <w:pPr>
        <w:spacing w:after="0" w:line="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are subject to HIPAA. HIPAA imposes privacy, security and breach notification obligations on certain healthcare providers, health plans, and healthcare clearinghouses, known as covered entities, as well as their business associates that perform certain services that involve creating, receiving, maintaining or transmitting individually identifiable health information (“protected health information,” or “PHI”) for or on behalf of such covered entities, and their covered subcontractors. HIPAA requires covered entities and business associates to develop and maintain policies with respect to the protection of, use and disclosure of PHI, including the adoption of administrative, physical and technical safeguards to protect such information, and certain notification requirements in the event of a breach of unsecured PHI.</w:t>
      </w:r>
    </w:p>
    <w:p>
      <w:pPr>
        <w:spacing w:after="0" w:line="1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Additionally, under HIPAA, covered entities must report breaches of unsecured PHI to affected individuals without unreasonable delay, not to exceed 60 days following discovery of the breach by a covered entity or its agents. Notification also must be made to the U.S. Department of Health and Human Services Office for Civil Rights, or OCR, and, in certain circumstances involving large breaches, to the media. Business associates must report breaches of unsecured PHI to covered entities within 60 days of discovery of the breach by the business associate or its agents. A non-permitted use or disclosure of PHI is presumed to be a breach under HIPAA unless the covered entity or business associate establishes that there is a low probability the information has been compromised consistent with requirements enumerated in HIPAA.</w:t>
      </w:r>
    </w:p>
    <w:p>
      <w:pPr>
        <w:spacing w:after="0" w:line="1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Entities that are found to be in violation of HIPAA as the result of a breach of unsecured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16"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Member states in the European Union and other countries have also adopted data protection laws and regulations which impose significant compliance obligations. For example, in the European Union, on May 25, 2018 the EU general Data Protection Regulation (GDPR) became applicable throughout the EU and, as a regulation, has direct effect in all member states. The GDR was designed to harmonize data privacy laws across the EU and change the way organizations approach data privacy. The GDPR introduced new obligations and expanded the extraterritorial reach of the EU data protection regime. It applies to (i) organizations that process personal data in the context of an establishment in the EU (regardless of whether the processing takes place in the EU) and (ii) organizations outside the EY that offer goods or services to data subjects in the EU, or that monitor the behavior of EU data subjects. Compliance with the GDPR involves significant obligations, including requirements around accountability and transparency, contracting with service providers that process personal data, responding to data subjects' rights requests within prescribed timelines, reporting of data breaches to data subjects and. or data protection or supervisory authorities, taking account of data protection as any new services are developed, and limiting the amount of personal data collected, stores or otherwise processed. These obligations and restrictions have a significant impact on the ability to collect, analyze and transfer personal data, including in the context of health data from clinical trials.</w:t>
      </w:r>
    </w:p>
    <w:p>
      <w:pPr>
        <w:spacing w:after="0" w:line="1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4"/>
          <w:szCs w:val="14"/>
          <w:color w:val="auto"/>
        </w:rPr>
        <w:t>Even though we believe we and our vendors are generally in compliance with applicable laws, rules and regulations relating to privacy and data security, these laws are in some cases relatively new and the interpretation and application of these laws are uncertain. Any failure or perceived failure by us to comply with data privacy and security laws, rules, regulations, industry standards and other requirements could result in proceedings or actions against us by individuals, consumer rights groups, government agencies, or others. We could incur significant costs in investigating and defending such claims and, if found liable, pay significant damages or fines or be required to make changes to our business. Further, these proceedings and any subsequent adverse outcomes may subject us to significant negative publicity and an erosion of trust. If any of these events were to occur, our business, results of operations, and financial condition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62" w:name="page63"/>
    <w:bookmarkEnd w:id="62"/>
    <w:p>
      <w:pPr>
        <w:ind w:firstLine="255"/>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colleagues, principal investigators, consultants and agents may engage in misconduct or other improper activities, including non-compliance with regulatory standards and requirements and insider trading.</w:t>
      </w:r>
    </w:p>
    <w:p>
      <w:pPr>
        <w:ind w:firstLine="509"/>
        <w:spacing w:after="0" w:line="284" w:lineRule="auto"/>
        <w:rPr>
          <w:sz w:val="20"/>
          <w:szCs w:val="20"/>
          <w:color w:val="auto"/>
        </w:rPr>
      </w:pPr>
      <w:r>
        <w:rPr>
          <w:rFonts w:ascii="Times New Roman" w:cs="Times New Roman" w:eastAsia="Times New Roman" w:hAnsi="Times New Roman"/>
          <w:sz w:val="14"/>
          <w:szCs w:val="14"/>
          <w:color w:val="auto"/>
        </w:rPr>
        <w:t>We are exposed to the risk of fraud or other misconduct by our colleagues, principal investigators, contract sales force, consultants and agents. Misconduct by these parties could include failure to:</w:t>
      </w:r>
    </w:p>
    <w:p>
      <w:pPr>
        <w:spacing w:after="0" w:line="1" w:lineRule="exact"/>
        <w:rPr>
          <w:sz w:val="20"/>
          <w:szCs w:val="20"/>
          <w:color w:val="auto"/>
        </w:rPr>
      </w:pPr>
    </w:p>
    <w:p>
      <w:pPr>
        <w:ind w:left="760" w:hanging="246"/>
        <w:spacing w:after="0"/>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FDA regulations or the regulations applicable in other jurisdictions;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accurate information to the FDA and other regulatory authorities;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healthcare fraud and abuse laws and regulations in the United States and abroad;</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 financial information or data accurately; or</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 unauthorized activities to us.</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claims that our colleagues, consultants or independent contractors have wrongfully used or disclosed confidential information of third parties.</w:t>
      </w:r>
    </w:p>
    <w:p>
      <w:pPr>
        <w:spacing w:after="0" w:line="53"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employ individuals who were previously employed at other biotechnology or pharmaceutical companies. We may be subject to claims that we or our colleagues, consultants or independent contractors have inadvertently or otherwise used or disclosed confidential information of our colleagues’ former employers or other third parties. We may also be subject to claims that former employers or other third parties have an ownership interest in our patents. Litigation may be necessary to defend against these claims. There is no guarantee of success in defending these claims and even if we are successful, litigation could result in substantial cost and be a distraction to our management and other colleagues from our core business.</w:t>
      </w:r>
    </w:p>
    <w:p>
      <w:pPr>
        <w:spacing w:after="0" w:line="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of our Common Stock may be volatile and fluctuate substantially, which could result in substantial losses for purchasers of our Common Stock.</w:t>
      </w:r>
    </w:p>
    <w:p>
      <w:pPr>
        <w:spacing w:after="0" w:line="5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market price of our Common Stock since our IPO has been and is likely to be volatile. The stock market in general and the market for biopharmaceutical or pharmaceutical companies in particular, has experienced extreme volatility that has often been unrelated to the operating performance of particular companies. As a result of this volatility, you may not be able to sell your Common Stock at or above your purchase price. The market price for our Common Stock may be influenced by many factors, including:</w:t>
      </w:r>
    </w:p>
    <w:p>
      <w:pPr>
        <w:spacing w:after="0" w:line="8" w:lineRule="exact"/>
        <w:rPr>
          <w:sz w:val="20"/>
          <w:szCs w:val="20"/>
          <w:color w:val="auto"/>
        </w:rPr>
      </w:pPr>
    </w:p>
    <w:p>
      <w:pPr>
        <w:ind w:left="760" w:hanging="246"/>
        <w:spacing w:after="0"/>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results of clinical trials of our current and any future product candidates or those of our competitors;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or regulatory approval of competitive drugs or therapies;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or legal developments in the United States and other countries, as to both our products and product candidates and those of our competitors;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or disputes concerning patent applications, issued patents or other proprietary rights;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recruitment or departure of key personnel;</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expenses related to our current and any future product candidates or clinical development programs;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our efforts to discover, develop, acquire or in-license additional product candidates;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changes in estimates as to financial results, development, clinical trials or regulatory approval timelines or recommendations by securities analysts;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obtain or delays in obtaining adequate drug supply for any approved drug or inability to do so at acceptable prices;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disputes or other developments relating to proprietary rights, including patents, litigation matters and our ability to obtain patent protection for our technologies;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lawsuits, including patent or stockholder litigation;</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variations in our financial results or those of companies that are perceived to be similar to us, or our failure to achieve anticipated financial results or funding;</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conditions in the pharmaceutical and biotechnology sectors;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inflation and rising interest rates;</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industry and market conditions; and</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factors described in this “Risk Factors” section.</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If securities analysts do not publish research or reports about our business or if they publish negative evaluations of our Company, the price of our Common Stock could decline.</w:t>
      </w:r>
    </w:p>
    <w:p>
      <w:pPr>
        <w:spacing w:after="0" w:line="5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trading market for our Common Stock relies, in part, on the research and reports that industry and financial analysts publish about us or our business. We currently have limited research coverage by industry and financial analysts. Should any analysts then covering our business downgrade their evaluations of our stock, the price of our stock could decline. If any analysts then covering our business cease to cover our stock, we could lose visibility in the market for our stock, which in turn could cause our stock price to decline.</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3" w:name="page64"/>
    <w:bookmarkEnd w:id="63"/>
    <w:p>
      <w:pPr>
        <w:jc w:val="both"/>
        <w:ind w:firstLine="255"/>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are a “smaller reporting company”, and we cannot be certain if the reduced reporting requirements applicable to smaller reporting companies will make our Common Stock less attractive to investors.</w:t>
      </w: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We are a “smaller reporting company”, as defined in Rule 405 under the Securities Act which allows us to take advantage of many of the exemptions from disclosure requirements available to “emerging growth companies,” as defined in the JOBS Act, including reduced disclosure obligations regarding executive compensation in our periodic reports and proxy statements and certain reduced financial disclosures in our periodic reports, including this Annual Report on Form 10-K. We are eligible to remain a smaller reporting company for so long as we have a public float (based on our Common Stock equity) of less than $250 million measured as of the last business day of our most recently completed second fiscal quarter or a public float (based on our Common Stock equity) of less than $700 million as of such date and annual revenues of less than $100 million during the most recently completed fiscal year. We cannot predict if investors will find our Common Stock less attractive because we may rely on these exemptions. If some investors find our Common Stock less attractive as a result of these disclosure exemptions, there may be a less active trading market for our Common Stock and our stock price may be more volatile.</w:t>
      </w:r>
    </w:p>
    <w:p>
      <w:pPr>
        <w:spacing w:after="0" w:line="17"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Effective internal controls over financial reporting are necessary for us to provide reliable financial reports and, together with adequate disclosure controls and procedures, are designed to prevent fraud. Any failure to implement new or improved controls, or difficulties encountered in their implementation, could cause us to fail to meet our reporting obligations. In addition, any testing by us conducted in connection with Section 404 of the Sarbanes-Oxley Act, or the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Sales of a substantial number of shares of our Common Stock in the public market by our existing stockholders would cause our stock price to fall.</w:t>
      </w:r>
    </w:p>
    <w:p>
      <w:pPr>
        <w:spacing w:after="0" w:line="5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Sales of a substantial number of shares of our Common Stock by our existing stockholders, including shares issued to colleagues and directors in respect of the termination of our Performance Unit Plans, or PUP Plans,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Certain holders of our securities are entitled to rights with respect to the registration of their shares under the Securities Act. Registration of these shares under the Securities Act has resulted in a substantial amount of these shares becoming freely tradable without restriction under the Securities Act. Any sales of securities by these stockholders could have a material adverse effect on the trading price of our Common Stock.</w:t>
      </w:r>
    </w:p>
    <w:p>
      <w:pPr>
        <w:spacing w:after="0" w:line="6"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Adverse developments affecting the financial services industry could adversely affect our current and projected business operations and our financial conditions and results of operation.</w:t>
      </w:r>
    </w:p>
    <w:p>
      <w:pPr>
        <w:spacing w:after="0" w:line="20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Adverse developments that affect financial institutions, such as events involving liquidity that are rumored or actual, have in the past and may in the future lead to bank failures and market-wide liquidity problems. Although the Department of the Treasury, the Federal Reserve and the FDIC may take action to mitigate the risk of potential losses, widespread demands for customer withdrawals or other liquidity needs of financial institutions for immediate liquidity may exceed the capacity of such program.</w:t>
      </w:r>
    </w:p>
    <w:p>
      <w:pPr>
        <w:spacing w:after="0" w:line="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Although we assess our banking relationships as we believe necessary or appropriate, our access to cash in amounts adequate to finance or capitalization our current projected future business operations could be significantly impaired by factors that affect the financial institutions with which we have banking relationships, and in turn, us.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spacing w:after="0" w:line="1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4" w:name="page65"/>
    <w:bookmarkEnd w:id="64"/>
    <w:p>
      <w:pPr>
        <w:jc w:val="both"/>
        <w:spacing w:after="0" w:line="264" w:lineRule="auto"/>
        <w:rPr>
          <w:sz w:val="20"/>
          <w:szCs w:val="20"/>
          <w:color w:val="auto"/>
        </w:rPr>
      </w:pPr>
      <w:r>
        <w:rPr>
          <w:rFonts w:ascii="Times New Roman" w:cs="Times New Roman" w:eastAsia="Times New Roman" w:hAnsi="Times New Roman"/>
          <w:sz w:val="14"/>
          <w:szCs w:val="14"/>
          <w:color w:val="auto"/>
        </w:rPr>
        <w:t>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3"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addition, a critical vendor or business partner could be adversely affected by any of the liquidity or other risks that are described above as factors, which in turn, could have a material adverse effect on our current and/or projected business operations and results of operations and financial condition. Any business partner or supplier bankruptcy or insolvency, or any breach or default by a business partner or supplier, or the loss of any significant business partner or supplier relationships, could result in material adverse impacts on our current and/or projected business operations and financial condition.</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65" w:name="page66"/>
    <w:bookmarkEnd w:id="65"/>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1B.</w:t>
        <w:tab/>
        <w:t>Unresolved Staff Comments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9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1C.</w:t>
      </w:r>
      <w:r>
        <w:rPr>
          <w:sz w:val="20"/>
          <w:szCs w:val="20"/>
          <w:color w:val="auto"/>
        </w:rPr>
        <w:tab/>
      </w:r>
      <w:r>
        <w:rPr>
          <w:rFonts w:ascii="Times New Roman" w:cs="Times New Roman" w:eastAsia="Times New Roman" w:hAnsi="Times New Roman"/>
          <w:sz w:val="13"/>
          <w:szCs w:val="13"/>
          <w:b w:val="1"/>
          <w:bCs w:val="1"/>
          <w:color w:val="auto"/>
        </w:rPr>
        <w:t>Cybersecurity</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Risk Management and Strategy</w:t>
      </w:r>
    </w:p>
    <w:p>
      <w:pPr>
        <w:spacing w:after="0" w:line="96" w:lineRule="exact"/>
        <w:rPr>
          <w:sz w:val="20"/>
          <w:szCs w:val="20"/>
          <w:color w:val="auto"/>
        </w:rPr>
      </w:pPr>
    </w:p>
    <w:p>
      <w:pPr>
        <w:jc w:val="both"/>
        <w:ind w:firstLine="509"/>
        <w:spacing w:after="0" w:line="176" w:lineRule="exact"/>
        <w:rPr>
          <w:sz w:val="20"/>
          <w:szCs w:val="20"/>
          <w:color w:val="auto"/>
        </w:rPr>
      </w:pPr>
      <w:r>
        <w:rPr>
          <w:rFonts w:ascii="Times New Roman" w:cs="Times New Roman" w:eastAsia="Times New Roman" w:hAnsi="Times New Roman"/>
          <w:sz w:val="14"/>
          <w:szCs w:val="14"/>
          <w:color w:val="auto"/>
        </w:rPr>
        <w:t>Aquestive maintains a cybersecurity risk management program designed to identify, assess, and mitigate risks from cybersecurity threats that could materially affect the Company’s business operations, financial performance, or the confidentiality, integrity, and availability of Company data and information systems. The Company’s cybersecurity program is organized around four pillars —Governance, Process, Compliance, and Audit—and is supported by formal written policies, procedures, and standards, including the Company’s Information Technology Policy and Cybersecurity Policy (collectively, the “Cybersecurity Policies”) that are assessed and evolving to address advancements in technology including artificial intelligence. The Cybersecurity Policies establish required security controls and requirements relating to, among other things, system access, acceptable use, software acquisition, password management, and network security. The Company also provides cybersecurity training and awareness programs, including training applicable to GxP and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GxP systems, as required under the Company’s Computer Policy.</w:t>
      </w:r>
    </w:p>
    <w:p>
      <w:pPr>
        <w:spacing w:after="0" w:line="4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evaluates cybersecurity risk using processes aligned with recognized frameworks and standards, including the NIST CSF, applicable NIST Special Publications (including the 800 and 600 series), and ISO 42001. The Company maintains an Incident Response Plan that is aligned to the NIST incident response lifecycle and is designed to support a consistent approach to cybersecurity events, including preparation, identification, containment, eradication, recovery, and lessons learned.</w:t>
      </w:r>
    </w:p>
    <w:p>
      <w:pPr>
        <w:spacing w:after="0" w:line="51" w:lineRule="exact"/>
        <w:rPr>
          <w:sz w:val="20"/>
          <w:szCs w:val="20"/>
          <w:color w:val="auto"/>
        </w:rPr>
      </w:pPr>
    </w:p>
    <w:p>
      <w:pPr>
        <w:jc w:val="both"/>
        <w:ind w:firstLine="509"/>
        <w:spacing w:after="0" w:line="174" w:lineRule="exact"/>
        <w:rPr>
          <w:sz w:val="20"/>
          <w:szCs w:val="20"/>
          <w:color w:val="auto"/>
        </w:rPr>
      </w:pPr>
      <w:r>
        <w:rPr>
          <w:rFonts w:ascii="Times New Roman" w:cs="Times New Roman" w:eastAsia="Times New Roman" w:hAnsi="Times New Roman"/>
          <w:sz w:val="14"/>
          <w:szCs w:val="14"/>
          <w:color w:val="auto"/>
        </w:rPr>
        <w:t>The Company’s cybersecurity monitoring activities include, among other things, review of system logs, authentication activity, endpoint security events, and network behavior. These activities are supported by internal resources and a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MSSP. The MSSP supports the Company with active threat monitoring, threat intelligence, risk assessment processes, and incident response capabilities intended to enable the Company to assess and address cybersecurity risks that could impact business operations. The Company may also engage other external experts, including cybersecurity assessors, consultants, and auditors, from time to time to evaluate cybersecurity measures and the effectiveness of relevant risk management processes.</w:t>
      </w:r>
    </w:p>
    <w:p>
      <w:pPr>
        <w:spacing w:after="0" w:line="72" w:lineRule="exact"/>
        <w:rPr>
          <w:sz w:val="20"/>
          <w:szCs w:val="20"/>
          <w:color w:val="auto"/>
        </w:rPr>
      </w:pPr>
    </w:p>
    <w:p>
      <w:pPr>
        <w:jc w:val="both"/>
        <w:ind w:firstLine="509"/>
        <w:spacing w:after="0" w:line="175" w:lineRule="exact"/>
        <w:rPr>
          <w:sz w:val="20"/>
          <w:szCs w:val="20"/>
          <w:color w:val="auto"/>
        </w:rPr>
      </w:pPr>
      <w:r>
        <w:rPr>
          <w:rFonts w:ascii="Times New Roman" w:cs="Times New Roman" w:eastAsia="Times New Roman" w:hAnsi="Times New Roman"/>
          <w:sz w:val="14"/>
          <w:szCs w:val="14"/>
          <w:color w:val="auto"/>
        </w:rPr>
        <w:t>The Company relies on third parties, including suppliers, vendors, cloud platforms, and other service providers, in connection with its operations. The Company reviews cybersecurity risks associated with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relationships and maintains controls designed to restrict unauthorized access and to align with internal policy requirements. While the Company’s processes are intended to reduce exposure to cybersecurity threats, no controls can eliminate all risk, and cybersecurity threats and threat actors continue to evolve.</w:t>
      </w:r>
    </w:p>
    <w:p>
      <w:pPr>
        <w:spacing w:after="0" w:line="7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Cybersecurity risks are also reviewed as part of the Company’s enterprise risk management program. The Company assesses on an ongoing basis the potential impacts of cybersecurity risks and how such risks could materially affect the Company’s business strategy, results of operations, or financial condition. During the reporting period, the Company did not identify any cybersecurity threats or incidents, including as a result of previous cybersecurity incidents, that it believes have materially impacted, or are reasonably likely to materially impact, the Company’s business strategy, results of operations, or financial condition.</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Governance</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Role of Management/Board</w:t>
      </w:r>
    </w:p>
    <w:p>
      <w:pPr>
        <w:spacing w:after="0" w:line="9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Chief People Officer, together with the broader information technology function, is responsible for assessing and managing the Company’s cybersecurity risks and for informing senior management and the Audit Committee regarding cybersecurity risks and the prevention, detection, mitigation, and remediation of cybersecurity incidents. The Chief People Officer reports to the Company’s Chief Executive Officer and leads the Company’s cybersecurity program. The Chief People Officer has served in this function at the Company for 10 years and has over eleven years of experience in information security strategy and cybersecurity risk management. The Company’s internal information technology team has over fifteen years of combined technical, program management, and architecture experience in managing cyber risk and information security.</w:t>
      </w:r>
    </w:p>
    <w:p>
      <w:pPr>
        <w:spacing w:after="0" w:line="58" w:lineRule="exact"/>
        <w:rPr>
          <w:sz w:val="20"/>
          <w:szCs w:val="20"/>
          <w:color w:val="auto"/>
        </w:rPr>
      </w:pPr>
    </w:p>
    <w:p>
      <w:pPr>
        <w:jc w:val="both"/>
        <w:ind w:firstLine="509"/>
        <w:spacing w:after="0" w:line="179" w:lineRule="exact"/>
        <w:rPr>
          <w:sz w:val="20"/>
          <w:szCs w:val="20"/>
          <w:color w:val="auto"/>
        </w:rPr>
      </w:pPr>
      <w:r>
        <w:rPr>
          <w:rFonts w:ascii="Times New Roman" w:cs="Times New Roman" w:eastAsia="Times New Roman" w:hAnsi="Times New Roman"/>
          <w:sz w:val="14"/>
          <w:szCs w:val="14"/>
          <w:color w:val="auto"/>
        </w:rPr>
        <w:t>The Company’s Cybersecurity Policy and Incident Response Plan assign responsibilities for incident governance, including to the CSIRT, Incident Response Commander, Incident Response Manager, and Incident Handling Team. These documents also establish escalation pathways and decision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making authority during cybersecurity events. The Company’s leadership, including the Director of IT and senior executives identified in the incident response governance matrix, are responsible for reviewing cybersecurity risks, approving responses to significant incidents, and ensuring the Company maintains appropriate resources for cybersecurity operations and continuous improvement consistent with the Company’s framework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aligned processes.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6" w:name="page67"/>
    <w:bookmarkEnd w:id="66"/>
    <w:p>
      <w:pPr>
        <w:ind w:left="520"/>
        <w:spacing w:after="0"/>
        <w:rPr>
          <w:sz w:val="20"/>
          <w:szCs w:val="20"/>
          <w:color w:val="auto"/>
        </w:rPr>
      </w:pPr>
      <w:r>
        <w:rPr>
          <w:rFonts w:ascii="Times New Roman" w:cs="Times New Roman" w:eastAsia="Times New Roman" w:hAnsi="Times New Roman"/>
          <w:sz w:val="14"/>
          <w:szCs w:val="14"/>
          <w:i w:val="1"/>
          <w:iCs w:val="1"/>
          <w:color w:val="auto"/>
        </w:rPr>
        <w:t>Board Oversight of Cybersecurity Risk</w:t>
      </w:r>
    </w:p>
    <w:p>
      <w:pPr>
        <w:spacing w:after="0" w:line="96" w:lineRule="exact"/>
        <w:rPr>
          <w:sz w:val="20"/>
          <w:szCs w:val="20"/>
          <w:color w:val="auto"/>
        </w:rPr>
      </w:pPr>
    </w:p>
    <w:p>
      <w:pPr>
        <w:jc w:val="both"/>
        <w:ind w:firstLine="509"/>
        <w:spacing w:after="0" w:line="188" w:lineRule="exact"/>
        <w:rPr>
          <w:sz w:val="20"/>
          <w:szCs w:val="20"/>
          <w:color w:val="auto"/>
        </w:rPr>
      </w:pPr>
      <w:r>
        <w:rPr>
          <w:rFonts w:ascii="Times New Roman" w:cs="Times New Roman" w:eastAsia="Times New Roman" w:hAnsi="Times New Roman"/>
          <w:sz w:val="14"/>
          <w:szCs w:val="14"/>
          <w:color w:val="auto"/>
        </w:rPr>
        <w:t>The Audit Committee provides oversight of the Company’s cybersecurity matters, including risks associated with cybersecurity threats. The IT Officer briefs the Audit Committee quarterly regarding the effectiveness of the Company’s cybersecurity program, with a more in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depth review conducted annually.</w:t>
      </w:r>
    </w:p>
    <w:p>
      <w:pPr>
        <w:spacing w:after="0" w:line="23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3"/>
          <w:szCs w:val="13"/>
          <w:b w:val="1"/>
          <w:bCs w:val="1"/>
          <w:color w:val="auto"/>
        </w:rPr>
        <w:t>Properties</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lease our 8,400-square-foot current production facility (Melton) in Portage, Indiana, which houses certain R&amp;D offices and cGMP manufacturing operations. The lease contains an option to purchase the facility at any time during the lease term along with a right of first refusal to purchase the facility. On February 28, 2023, we extended our Melton facility lease which will expire March 31, 2028 under the same terms and conditions as the prior lease.</w:t>
      </w:r>
    </w:p>
    <w:p>
      <w:pPr>
        <w:spacing w:after="0" w:line="5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also lease a 73,000-square-foot facility (Ameriplex) in Portage, Indiana, to house additional packaging, R&amp;D and other operations. As amended, this lease has a term that extends through September 30, 2028 and contains a renewal option that could extend the lease through September 30, 2033.</w:t>
      </w:r>
    </w:p>
    <w:p>
      <w:pPr>
        <w:spacing w:after="0" w:line="3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lease a 19,610-square-foot headquarters and principal laboratory in Warren, New Jersey. As amended, this lease has a term that extends our lease through August 2026 and contains a renewal option that could extend the lease through August 2029.</w:t>
      </w:r>
    </w:p>
    <w:p>
      <w:pPr>
        <w:spacing w:after="0" w:line="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do not own any real property.</w:t>
      </w:r>
    </w:p>
    <w:p>
      <w:pPr>
        <w:spacing w:after="0" w:line="9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3.</w:t>
        <w:tab/>
        <w:t>Legal Proceedings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For more information on Legal Proceedings, see Part II Item 8. Financial Statements and Supplementary Data, Note 23, </w:t>
      </w:r>
      <w:r>
        <w:rPr>
          <w:rFonts w:ascii="Times New Roman" w:cs="Times New Roman" w:eastAsia="Times New Roman" w:hAnsi="Times New Roman"/>
          <w:sz w:val="14"/>
          <w:szCs w:val="14"/>
          <w:i w:val="1"/>
          <w:iCs w:val="1"/>
          <w:color w:val="auto"/>
        </w:rPr>
        <w:t>Contingencies</w:t>
      </w:r>
      <w:r>
        <w:rPr>
          <w:rFonts w:ascii="Times New Roman" w:cs="Times New Roman" w:eastAsia="Times New Roman" w:hAnsi="Times New Roman"/>
          <w:sz w:val="14"/>
          <w:szCs w:val="14"/>
          <w:color w:val="auto"/>
        </w:rPr>
        <w:t>.</w:t>
      </w:r>
    </w:p>
    <w:p>
      <w:pPr>
        <w:spacing w:after="0" w:line="9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4.</w:t>
        <w:tab/>
        <w:t>Mine Safety Disclosures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 applicable.</w:t>
      </w:r>
    </w:p>
    <w:p>
      <w:pPr>
        <w:spacing w:after="0" w:line="9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9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5.</w:t>
        <w:tab/>
        <w:t>Market for Registrant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 Common Equity, Related Stockholder Matters and Issuer Purchases of Equity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9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Our Common stock began trading on the Nasdaq Global Select Market on July 24, 2018 and now trades on the Nasdaq Global Market under the symbol “AQST”. Prior to that date there was no public market for our Common Stock.</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Holders of Record</w:t>
      </w:r>
    </w:p>
    <w:p>
      <w:pPr>
        <w:spacing w:after="0" w:line="9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As of March 2, 2026, we had approximately 72 holders of record of our Common Stock. Certain shares are held in “street” name and, accordingly, the number of beneficial owners of such shares is not known or included in the foregoing number. This number of holders of record also does not include stockholders whose shares may be held in trust by other entities.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have never declared or paid any cash dividends on our Common Stock. We currently intend to retain future earnings to fund the development and growth of our business. We do not expect to pay any cash dividends in the foreseeable future. Any future determination to pay dividends will be made at the direction of our board of directors and will depend on then-existing conditions, including our financial conditions, operating results, contractual restrictions, capital requirements, business prospects and other factors our board of directors may deem relevant.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Sale of Unregistered Securities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Purchases of Equity Securities by the Issuer and Affiliated Purchasers</w:t>
      </w:r>
    </w:p>
    <w:p>
      <w:pPr>
        <w:spacing w:after="0" w:line="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7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6.</w:t>
      </w:r>
      <w:r>
        <w:rPr>
          <w:sz w:val="20"/>
          <w:szCs w:val="20"/>
          <w:color w:val="auto"/>
        </w:rPr>
        <w:tab/>
      </w:r>
      <w:r>
        <w:rPr>
          <w:rFonts w:ascii="Times New Roman" w:cs="Times New Roman" w:eastAsia="Times New Roman" w:hAnsi="Times New Roman"/>
          <w:sz w:val="13"/>
          <w:szCs w:val="13"/>
          <w:color w:val="auto"/>
        </w:rPr>
        <w:t>Reserved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7" w:name="page68"/>
    <w:bookmarkEnd w:id="67"/>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7.</w:t>
        <w:tab/>
        <w:t>Management’s Discussion and Analysis of Financial Condition and Results of Operations</w:t>
      </w:r>
    </w:p>
    <w:p>
      <w:pPr>
        <w:spacing w:after="0" w:line="94"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The following discussion of our financial condition and results of operations should be read in conjunction with our financial statements and the notes to those financial statements appearing elsewhere in the Annual Report on Form 10-K. This discussion contains forward-looking statements that involve significant risks and uncertainties. As a result of many factors, such as those set forth under “Risk Factors” in Part 1 Item 1A of this Annual Report on Form 10-K, our actual results may differ materially from those anticipated in these forward-looking statements. All dollar amounts are stated in thousands.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Aquestive is a pharmaceutical company advancing medicines to bring meaningful improvement to patients' lives through innovative science and delivery technologies. We are developing pharmaceutical products to deliver complex molecules through administrations that are alternatives to invasive and inconvenient standard of care therapies. We are advancing our late stage non-device based epinephrine prodrug product candidate for the treatment of severe allergic reactions, including anaphylaxis, under the Anaphylm™ trade name, and our Adrenaverse™ epinephrine prodrug pipeline platform. We have four licensed commercialized products which are marketed by our licensees in the U.S. and around the world. We are the exclusive manufacturer of these licensed products. Aquestive also collaborates with pharmaceutical companies to bring new molecules to market using proprietary, best-in-class technologies, like PharmFilm</w:t>
      </w:r>
      <w:r>
        <w:rPr>
          <w:rFonts w:ascii="Arial" w:cs="Arial" w:eastAsia="Arial" w:hAnsi="Arial"/>
          <w:sz w:val="14"/>
          <w:szCs w:val="14"/>
          <w:color w:val="auto"/>
        </w:rPr>
        <w:t>®</w:t>
      </w:r>
      <w:r>
        <w:rPr>
          <w:rFonts w:ascii="Times New Roman" w:cs="Times New Roman" w:eastAsia="Times New Roman" w:hAnsi="Times New Roman"/>
          <w:sz w:val="14"/>
          <w:szCs w:val="14"/>
          <w:color w:val="auto"/>
        </w:rPr>
        <w:t>, and has proven drug development and commercialization capabilities. Our production facilities are located in Portage, Indiana, and our corporate headquarters and primary research laboratory facilities are based in Warren, New Jersey.</w:t>
      </w:r>
    </w:p>
    <w:p>
      <w:pPr>
        <w:spacing w:after="0" w:line="230"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manufacture licensed products at our facilities and anticipate that our current manufacturing capacity is sufficient for commercial quantities of our licensed products and product candidates currently in development. Our facilities have been inspected by the FDA, TGA, and DEA, and are subject to inspection by all applicable health agencies, including ANVISA and EMA. Not all collaborative or licensed products of the Company that may be commercially launched in the future will necessarily be manufactured by us.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Operations Overview</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Revenues</w:t>
      </w:r>
    </w:p>
    <w:p>
      <w:pPr>
        <w:spacing w:after="0" w:line="9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Our revenues to date have been earned from our manufactured products made to order for licensees, as well as revenue from our self-developed, self-commercialized proprietary product, Libervant for ARS patients between two and five years of age which lost U.S. market access as a result of a court case challenging FDA's approval of Libervant in April 2025. Revenues are also earned from our product development services provided under contracts with customers, and from the licensing of our intellectual property. We generate revenues in four primary categories: manufacture and supply revenue, license and royalty revenue, co-development and research fees, and proprietary product revenue, net.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Manufacture and Supply Revenue</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manufacture based on receipt of purchase orders from our licensees, and our licensees have an obligation to accept these orders once quality assurance validates the quality of the manufactured product with agreed upon technical specifications. In most cases, our licensees are responsible for all other aspects of commercialization of these products, and we have no role, either direct or indirect, in our customers’ commercialization activities, including those related to marketing, pricing, sales, payor access and regulatory operations.</w:t>
      </w:r>
    </w:p>
    <w:p>
      <w:pPr>
        <w:spacing w:after="0" w:line="5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expect future manufacture and supply revenue from licensed products to be based on volume demand for existing licensed products, and for manufacturing and supply rights under license and supply agreements for existing or new agreements for successful product development collaborations.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License and Royalty Revenue</w:t>
      </w:r>
    </w:p>
    <w:p>
      <w:pPr>
        <w:spacing w:after="0" w:line="9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realize revenue from licenses of our intellectual property. For licenses that do not require further development or other ongoing activities by us, our licensee has acquired the right to use the licensed intellectual property for self-development of their product candidate, for manufacturing, commercialization or other specified purposes, upon the effective transfer of those rights, and related revenues are generally recorded at a point in time, subject to contingencies or constraints, if any. For licenses that may provide substantial value only in conjunction with other performance obligations to be provided by us, such as development services or the manufacture of specific products, revenues are generally recorded over the term of the license agreement. We also earn royalties based on our licensees’ sales of products that use our intellectual property that are marketed and sold in the countries where we have patented technology rights.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Co-development and Research Fees</w:t>
      </w:r>
    </w:p>
    <w:p>
      <w:pPr>
        <w:spacing w:after="0" w:line="9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Co-development and research fees are earned through performance of specific tasks, activities or completion of stages of development defined within a contractual development or feasibility study agreement with a customer. The nature of these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68" w:name="page69"/>
    <w:bookmarkEnd w:id="68"/>
    <w:p>
      <w:pPr>
        <w:jc w:val="both"/>
        <w:spacing w:after="0" w:line="261" w:lineRule="auto"/>
        <w:rPr>
          <w:sz w:val="20"/>
          <w:szCs w:val="20"/>
          <w:color w:val="auto"/>
        </w:rPr>
      </w:pPr>
      <w:r>
        <w:rPr>
          <w:rFonts w:ascii="Times New Roman" w:cs="Times New Roman" w:eastAsia="Times New Roman" w:hAnsi="Times New Roman"/>
          <w:sz w:val="14"/>
          <w:szCs w:val="14"/>
          <w:color w:val="auto"/>
        </w:rPr>
        <w:t>performance obligations, broadly referred to as milestones or deliverables, are usually dependent on the scope and structure of the project as contracted, as well as the complexity of the product and the specific regulatory approval path necessary for that product. Accordingly, the duration of our R&amp;D projects may range from several months to approximately three years. Although each contractual arrangement is unique, common milestones contained in these arrangements include those for the performance of efficacy and other tests, reports of findings, formulation of initial prototypes, production of stability clinical and/or scale-up batches, and stability testing of those batches. Additional milestones may be established and linked to clinical results of the product submission and/or approval of the product by the FDA and the commercial launch of the product.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Proprietary product revenue, net</w:t>
      </w:r>
    </w:p>
    <w:p>
      <w:pPr>
        <w:spacing w:after="0" w:line="9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This net revenue is recognized when product is shipped and title passes to the customer, typically at time of delivery. At the time of sale, estimates for various revenue allowances are recorded based on historical trends and judgmental estimates. For sales of Libervant for ARS patients between two to five years of age while Libervant had U.S. market access through April 2025, returns allowances and prompt pay discounts are estimated based on contract terms and historical return rates, if available, and these estimates are recorded as a reduction of receivables. Once receivables are collected, allowances are reclassified and treated as accrued liabilities. Similarly determined estimates are recorded relating to wholesaler service fees, co-pay support redemptions, and other rebates, and these estimates are reflected as a component of accrued liabilities. Once related variable considerations are resolved and uncertainties as to incurred amounts are eliminated, estimates are adjusted to actual allowance amounts. Provisions for these estimated amounts are reviewed and adjusted as needed on no less than a quarterly basis.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Costs and Expenses</w:t>
      </w:r>
    </w:p>
    <w:p>
      <w:pPr>
        <w:spacing w:after="0" w:line="9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Our costs and expenses are primarily the result of the following activities: generation of manufacture and supply revenues; development of our pipeline of proprietary product candidates; and selling, general and administrative expenses, including pre-launch and post-launch commercialization efforts, intellectual property procurement, protection, prosecution and litigation expenses, corporate management functions, medical and clinical affairs administration; public company costs, share-based compensation expenses and interest on our corporate borrowings. We primarily record our costs and expenses in the following categories: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Manufacture and Supply Costs and Expenses</w:t>
      </w:r>
    </w:p>
    <w:p>
      <w:pPr>
        <w:spacing w:after="0" w:line="9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Manufacture and supply costs and expenses are primarily incurred from the manufacture of our commercialized licensed pharmaceutical products, including raw materials, direct labor and overhead costs principally in our Portage, Indiana facilities. Our material costs include the costs of raw materials used in the production of our proprietary dissolving film and primary packaging materials. Direct labor costs consist of payroll costs (including taxes and benefits) of employees engaged in production activities. Overhead costs principally consist of indirect payroll, facilities rent, utilities and depreciation for leasehold improvements and production machinery and equipment. These costs can increase, or decrease, based on the costs of materials, purchased at market pricing, and the amount of direct labor required to produce a product, along with the allocation of fixed overhead, which is dependent on production volume.</w:t>
      </w:r>
    </w:p>
    <w:p>
      <w:pPr>
        <w:spacing w:after="0" w:line="5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Our manufacture and supply costs and expenses are impacted by our customers’ supply requirements. Costs of production reflect the costs of raw materials that are purchased at market prices and production efficiency (measured by the cost of a salable unit). These costs can increase or decrease based on the amount of direct labor and materials required to produce a product and the allocation of fixed overhead, which is dependent on the levels of production.</w:t>
      </w:r>
    </w:p>
    <w:p>
      <w:pPr>
        <w:spacing w:after="0" w:line="5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addition to our proprietary products coming online, we may add licensee products which may need additional resources to manufacture. If such growth should occur for higher volume product opportunities such as Suboxone and Ondif, we would incur increased costs associated with hiring additional personnel to support the increased manufacturing and supply costs arising from higher manufactured volumes from proprietary and licensed products.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Since our inception, we have focused significant resources on our R&amp;D activities. R&amp;D expenses primarily consist of:</w:t>
      </w:r>
    </w:p>
    <w:p>
      <w:pPr>
        <w:spacing w:after="0" w:line="94" w:lineRule="exact"/>
        <w:rPr>
          <w:sz w:val="20"/>
          <w:szCs w:val="20"/>
          <w:color w:val="auto"/>
        </w:rPr>
      </w:pPr>
    </w:p>
    <w:p>
      <w:pPr>
        <w:ind w:left="760" w:hanging="246"/>
        <w:spacing w:after="0"/>
        <w:tabs>
          <w:tab w:leader="none" w:pos="7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employee-related expenses, including compensation, benefits, share-based compensation and travel expense;</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external R&amp;D expenses incurred under arrangements with third parties, such as CROs, investigational sites and consultants;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acquiring, developing and manufacturing clinical study materials; and</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associated with preclinical and clinical activities and regulatory operations.</w:t>
      </w:r>
    </w:p>
    <w:p>
      <w:pPr>
        <w:spacing w:after="0" w:line="94"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We expect our R&amp;D expenses to continue to be significant over the next several years as we continue to develop existing product candidates such as Anaphylm, AQST-108, and others, and as we identify and develop or acquire additional</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69" w:name="page70"/>
    <w:bookmarkEnd w:id="69"/>
    <w:p>
      <w:pPr>
        <w:jc w:val="both"/>
        <w:spacing w:after="0" w:line="287" w:lineRule="auto"/>
        <w:rPr>
          <w:sz w:val="20"/>
          <w:szCs w:val="20"/>
          <w:color w:val="auto"/>
        </w:rPr>
      </w:pPr>
      <w:r>
        <w:rPr>
          <w:rFonts w:ascii="Times New Roman" w:cs="Times New Roman" w:eastAsia="Times New Roman" w:hAnsi="Times New Roman"/>
          <w:sz w:val="14"/>
          <w:szCs w:val="14"/>
          <w:color w:val="auto"/>
        </w:rPr>
        <w:t>product candidates and technologies. We may hire or engage additional skilled colleagues or third parties to perform these activities, conduct clinical trials and ultimately seek regulatory approvals for any product candidate that successfully completes those clinical trials.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9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Selling, General and Administrative expenses consist primarily of salaries, benefits, share-based compensation, other related costs for executive, finance, and operational personnel. Other costs include facility and related costs not otherwise included in R&amp;D expenses such as: professional fees for patent-related expenses and for other legal expenses, legal expenditures, regulatory fees, consulting, tax and accounting services, insurance, market research, advisory board and key opinion leaders, depreciation, and general corporate expenses, inclusive of IT systems related costs. In addition, these expenses also include warehousing, distribution, selling and business development, and other costs.</w:t>
      </w:r>
    </w:p>
    <w:p>
      <w:pPr>
        <w:spacing w:after="0" w:line="5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Our general and administrative costs include costs related to accounting, audit, legal, regulatory, and tax-related services required to maintain compliance with exchange listing and SEC regulations, director and officer insurance costs, and investor and public relations costs. We continue to incur significant costs in seeking to protect our intellectual property rights, including significant litigation costs in connection with seeking to enforce our rights concerning third parties’ at-risk launch of generic products.</w:t>
      </w:r>
    </w:p>
    <w:p>
      <w:pPr>
        <w:spacing w:after="0" w:line="5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will continue to manage business costs to prepare for a potential future decline in Suboxone revenue and other external factors affecting our business. We continue to focus on our core business as well as regulatory and pre-commercial launch activities for Anaphylm.</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 xml:space="preserve">Interest expense consists of interest costs on the outstanding balances of our 13.5% Notes at a fixed rate of 13.5%, payable quarterly, and amortization of issuance costs and debt discounts. The issuance of our 13.5% Notes is discussed Part II Item 8. Financial Statements and Supplementary Data, Note 15,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In addition, see </w:t>
      </w:r>
      <w:r>
        <w:rPr>
          <w:rFonts w:ascii="Times New Roman" w:cs="Times New Roman" w:eastAsia="Times New Roman" w:hAnsi="Times New Roman"/>
          <w:sz w:val="14"/>
          <w:szCs w:val="14"/>
          <w:i w:val="1"/>
          <w:iCs w:val="1"/>
          <w:color w:val="auto"/>
        </w:rPr>
        <w:t>Liquidity and Capital Resources</w:t>
      </w:r>
      <w:r>
        <w:rPr>
          <w:rFonts w:ascii="Times New Roman" w:cs="Times New Roman" w:eastAsia="Times New Roman" w:hAnsi="Times New Roman"/>
          <w:sz w:val="14"/>
          <w:szCs w:val="14"/>
          <w:color w:val="auto"/>
        </w:rPr>
        <w:t xml:space="preserve"> below for further detail on our 13.5% Notes.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Expense related to Royalty Obligations</w:t>
      </w:r>
    </w:p>
    <w:p>
      <w:pPr>
        <w:spacing w:after="0" w:line="9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 xml:space="preserve">In connection with the issuance of the 13.5% Notes, we entered into the Royalty Rights Agreements with each of the Note Holders granting the Note Holders a tiered royalty between 1.0% and 2.0% of annual worldwide net sales of Anaphylm (epinephrine) Sublingual Film for a period of eight years from the first sale of Anaphylm on a global basis. The Note Holders are also entitled to a tiered royalty between 1.0% to 2.0% of annual worldwide net sales of Libervant until the earlier of (1) the first sale of Anaphylm and (2) eight years from the first sale of Libervant. These royalty agreements are classified as debt, and the value of the $45,000 13.5% Notes has been allocated between debt and the Royalty Obligations based on their relative fair market values. The excess of future estimated royalty payments over the allocated fair value is recognized as a discount related to the Royalty Right Agreements and is amortized as interest expense using the effective interest method. The 13.5% Notes are discussed in Part II Item 8. Financial Statements and Supplementary Data, Note 15, </w:t>
      </w:r>
      <w:r>
        <w:rPr>
          <w:rFonts w:ascii="Times New Roman" w:cs="Times New Roman" w:eastAsia="Times New Roman" w:hAnsi="Times New Roman"/>
          <w:sz w:val="14"/>
          <w:szCs w:val="14"/>
          <w:i w:val="1"/>
          <w:iCs w:val="1"/>
          <w:color w:val="auto"/>
        </w:rPr>
        <w:t>Long-Term Debt.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Expense related to Sale of Future Revenue</w:t>
      </w:r>
    </w:p>
    <w:p>
      <w:pPr>
        <w:spacing w:after="0" w:line="9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On November 3, 2020, we entered into the Monetization Agreement with Marathon. Under the terms of the Monetization Agreement, we sold to Marathon all of our contractual rights to receive royalties and milestone payments due under the Sunovion License Agreement related to Sunovion’s apomorphine product, KYNMOBI, an apomorphine film therapy for the treatment of off episodes in Parkinson’s disease patients, which received approval from the FDA on May 21, 2020. In exchange for the sale of these rights, we received an upfront payment from Marathon of $40,000 and an additional payment of $10,000 through the achievement of the first milestone. We have received an aggregate amount of $50,000 through December 31, 2025 under the Monetization Agreement.</w:t>
      </w:r>
    </w:p>
    <w:p>
      <w:pPr>
        <w:spacing w:after="0" w:line="5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Under the Monetization Agreement, additional contingent payments of up to $75,000 may be due to us upon the achievement of worldwide royalty and other commercial targets within a specified timeframe, which could result in total potential proceeds of $125,000. In June 2023, Sunovion announced that it has voluntarily withdrawn KYNMOBI from the U.S. and Canadian markets, therefore, we likely will not receive any of the additional contingent payments under the Monetization agreement. We discontinued recording interest expense related to the sale of future revenue under the Monetization agreement in the fourth quarter of 2022.</w:t>
      </w:r>
    </w:p>
    <w:p>
      <w:pPr>
        <w:spacing w:after="0" w:line="5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 xml:space="preserve">During the second quarter of 2020, under the Sunovion License Agreement, we recognized $8,000 of royalty revenue and corresponding royalty receivable, related to the $1,000 annual minimum guaranteed royalty that is due in each of the subsequent eight years. In connection with the Monetization Agreement, we performed an assessment under ASC 860, </w:t>
      </w:r>
      <w:r>
        <w:rPr>
          <w:rFonts w:ascii="Times New Roman" w:cs="Times New Roman" w:eastAsia="Times New Roman" w:hAnsi="Times New Roman"/>
          <w:sz w:val="14"/>
          <w:szCs w:val="14"/>
          <w:i w:val="1"/>
          <w:iCs w:val="1"/>
          <w:color w:val="auto"/>
        </w:rPr>
        <w:t>Transfer and Servicing</w:t>
      </w:r>
      <w:r>
        <w:rPr>
          <w:rFonts w:ascii="Times New Roman" w:cs="Times New Roman" w:eastAsia="Times New Roman" w:hAnsi="Times New Roman"/>
          <w:sz w:val="14"/>
          <w:szCs w:val="14"/>
          <w:color w:val="auto"/>
        </w:rPr>
        <w:t xml:space="preserve"> to determine whether the existing receivable was transferred to Marathon and concluded that the receivable was not transferred. See Part II Item 8. Financial Statements and Supplementary Data, Note 17, </w:t>
      </w:r>
      <w:r>
        <w:rPr>
          <w:rFonts w:ascii="Times New Roman" w:cs="Times New Roman" w:eastAsia="Times New Roman" w:hAnsi="Times New Roman"/>
          <w:sz w:val="14"/>
          <w:szCs w:val="14"/>
          <w:i w:val="1"/>
          <w:iCs w:val="1"/>
          <w:color w:val="auto"/>
        </w:rPr>
        <w:t>Sale of Future Revenue</w:t>
      </w:r>
      <w:r>
        <w:rPr>
          <w:rFonts w:ascii="Times New Roman" w:cs="Times New Roman" w:eastAsia="Times New Roman" w:hAnsi="Times New Roman"/>
          <w:sz w:val="14"/>
          <w:szCs w:val="14"/>
          <w:color w:val="auto"/>
        </w:rPr>
        <w:t xml:space="preserve">, and Note 13, </w:t>
      </w:r>
      <w:r>
        <w:rPr>
          <w:rFonts w:ascii="Times New Roman" w:cs="Times New Roman" w:eastAsia="Times New Roman" w:hAnsi="Times New Roman"/>
          <w:sz w:val="14"/>
          <w:szCs w:val="14"/>
          <w:i w:val="1"/>
          <w:iCs w:val="1"/>
          <w:color w:val="auto"/>
        </w:rPr>
        <w:t>Other-Non-Current Assets</w:t>
      </w:r>
      <w:r>
        <w:rPr>
          <w:rFonts w:ascii="Times New Roman" w:cs="Times New Roman" w:eastAsia="Times New Roman" w:hAnsi="Times New Roman"/>
          <w:sz w:val="14"/>
          <w:szCs w:val="14"/>
          <w:color w:val="auto"/>
        </w:rPr>
        <w:t xml:space="preserve"> for further detail.</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Income and other income, net</w:t>
      </w:r>
    </w:p>
    <w:p>
      <w:pPr>
        <w:spacing w:after="0" w:line="96"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Interest income and other income, net consists of earnings derived from an interest-bearing accounts, investments in money market Treasury mutual funds, Treasury bills and other miscellaneous income and expense items. These interest-bearing accounts have no minimum amounts to be maintained in the accounts for which interest and dividends are earned.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Years Ended December 31, 2025 and 2024</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discussion of our results of operations explains the material drivers of these results of operations.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Revenues</w:t>
            </w: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1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following table sets forth our revenue data for the periods indicated.</w:t>
            </w:r>
          </w:p>
        </w:tc>
        <w:tc>
          <w:tcPr>
            <w:tcW w:w="9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5180" w:type="dxa"/>
            <w:vAlign w:val="bottom"/>
          </w:tcPr>
          <w:p>
            <w:pPr>
              <w:spacing w:after="0"/>
              <w:rPr>
                <w:sz w:val="24"/>
                <w:szCs w:val="24"/>
                <w:color w:val="auto"/>
              </w:rPr>
            </w:pPr>
          </w:p>
        </w:tc>
        <w:tc>
          <w:tcPr>
            <w:tcW w:w="2400" w:type="dxa"/>
            <w:vAlign w:val="bottom"/>
            <w:tcBorders>
              <w:bottom w:val="single" w:sz="8" w:color="auto"/>
            </w:tcBorders>
            <w:gridSpan w:val="4"/>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0"/>
        </w:trPr>
        <w:tc>
          <w:tcPr>
            <w:tcW w:w="518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Manufacture and supply revenue</w:t>
            </w: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40,225</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39,976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License and royalty revenue</w:t>
            </w: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3,519</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Co-development and research fees</w:t>
            </w: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80"/>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Proprietary product revenue, net</w:t>
            </w:r>
          </w:p>
        </w:tc>
        <w:tc>
          <w:tcPr>
            <w:tcW w:w="9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90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44,545</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57,561</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(13,016)</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Revenues decreased 23% or $13,016 for the year ended December 31, 2025, compared to the same period in 2024. The decrease was primarily due to decreases in license and royalty revenue, proprietary product revenue, net, and co-development and research fees.</w:t>
      </w:r>
    </w:p>
    <w:p>
      <w:pPr>
        <w:spacing w:after="0" w:line="3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Manufacture and supply revenue increased 1% or $249 for the year ended December 31, 2025 compared to the same period in 2024. This increase was primarily due to a $3,795 increase in Ondif revenues, partially offset by a $3,482 decrease in Suboxone revenues.</w:t>
      </w:r>
    </w:p>
    <w:p>
      <w:pPr>
        <w:spacing w:after="0" w:line="3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License and royalty revenue decreased 77% or $11,826 for the year ended December 31, 2025 compared to the same period in 2024. This decrease was primarily due to the one-time recognition of deferred revenues of $11,544 due to the termination of licensing and supply agreements in the prior year.</w:t>
      </w:r>
    </w:p>
    <w:p>
      <w:pPr>
        <w:spacing w:after="0" w:line="3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Co-development and research fees decreased 34% or $646 for the year ended December 31, 2025 compared to the same period in 2024. The decrease was driven by the timing of the achievement of research and co-development performance obligations which are expected to fluctuate among reporting periods.</w:t>
      </w:r>
    </w:p>
    <w:p>
      <w:pPr>
        <w:spacing w:after="0" w:line="3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Proprietary product revenue, net decreased by $793 for the year ended December 31, 2025 compared to the same period in 2024. This decrease was primarily due to the change in the estimated returns allowance provision due to the withdrawal of Libervant from the market as U.S. market access ended in April 2025.</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Expenses, Interest Income and Other Income:</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sets forth our expenses and income for the periods indicated: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2400" w:type="dxa"/>
            <w:vAlign w:val="bottom"/>
            <w:tcBorders>
              <w:bottom w:val="single" w:sz="8" w:color="auto"/>
            </w:tcBorders>
            <w:gridSpan w:val="4"/>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1"/>
        </w:trPr>
        <w:tc>
          <w:tcPr>
            <w:tcW w:w="518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4"/>
                <w:szCs w:val="14"/>
                <w:color w:val="auto"/>
              </w:rPr>
            </w:pPr>
          </w:p>
        </w:tc>
      </w:tr>
      <w:tr>
        <w:trPr>
          <w:trHeight w:val="171"/>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w:t>
            </w: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Manufacture and supply</w:t>
            </w:r>
          </w:p>
        </w:tc>
        <w:tc>
          <w:tcPr>
            <w:tcW w:w="90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18,555</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5"/>
                <w:szCs w:val="15"/>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17,192</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(3,088)</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5"/>
                <w:szCs w:val="15"/>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79,849</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50,180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29,669</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20" w:type="dxa"/>
            <w:vAlign w:val="bottom"/>
          </w:tcPr>
          <w:p>
            <w:pPr>
              <w:spacing w:after="0"/>
              <w:rPr>
                <w:sz w:val="15"/>
                <w:szCs w:val="15"/>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11,120</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related to royalty obligations</w:t>
            </w: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5,737</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20" w:type="dxa"/>
            <w:vAlign w:val="bottom"/>
          </w:tcPr>
          <w:p>
            <w:pPr>
              <w:spacing w:after="0"/>
              <w:rPr>
                <w:sz w:val="15"/>
                <w:szCs w:val="15"/>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 related to the sale of future revenue</w:t>
            </w: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5"/>
                <w:szCs w:val="15"/>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and other income, net</w:t>
            </w: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(4,367)</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20" w:type="dxa"/>
            <w:vAlign w:val="bottom"/>
          </w:tcPr>
          <w:p>
            <w:pPr>
              <w:spacing w:after="0"/>
              <w:rPr>
                <w:sz w:val="15"/>
                <w:szCs w:val="15"/>
                <w:color w:val="auto"/>
              </w:rPr>
            </w:pPr>
          </w:p>
        </w:tc>
      </w:tr>
      <w:tr>
        <w:trPr>
          <w:trHeight w:val="759"/>
        </w:trPr>
        <w:tc>
          <w:tcPr>
            <w:tcW w:w="5180" w:type="dxa"/>
            <w:vAlign w:val="bottom"/>
          </w:tcPr>
          <w:p>
            <w:pPr>
              <w:spacing w:after="0"/>
              <w:rPr>
                <w:sz w:val="24"/>
                <w:szCs w:val="24"/>
                <w:color w:val="auto"/>
              </w:rPr>
            </w:pPr>
          </w:p>
        </w:tc>
        <w:tc>
          <w:tcPr>
            <w:tcW w:w="900" w:type="dxa"/>
            <w:vAlign w:val="bottom"/>
          </w:tcPr>
          <w:p>
            <w:pPr>
              <w:jc w:val="right"/>
              <w:ind w:right="311"/>
              <w:spacing w:after="0"/>
              <w:rPr>
                <w:sz w:val="20"/>
                <w:szCs w:val="20"/>
                <w:color w:val="auto"/>
              </w:rPr>
            </w:pPr>
            <w:r>
              <w:rPr>
                <w:rFonts w:ascii="Times New Roman" w:cs="Times New Roman" w:eastAsia="Times New Roman" w:hAnsi="Times New Roman"/>
                <w:sz w:val="13"/>
                <w:szCs w:val="13"/>
                <w:color w:val="auto"/>
              </w:rPr>
              <w:t>65</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0"/>
        </w:trPr>
        <w:tc>
          <w:tcPr>
            <w:tcW w:w="518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1" w:name="page72"/>
    <w:bookmarkEnd w:id="71"/>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Manufacture and supply costs and expenses increased 4%, or $683, for the year ended December 31, 2025 compared to the same period in 2024. The increase in manufacture and supply costs was due to changes in product mix and inventory write downs.</w:t>
      </w:r>
    </w:p>
    <w:p>
      <w:pPr>
        <w:spacing w:after="0" w:line="39"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R&amp;D expenses decreased 15%, or $3,088, for the year ended December 31, 2025 compared to the same period in 2024. The decrease in R&amp;D expenses is primarily due to decreases in clinical trial costs associated with the continued advancement of the Anaphylm program, partially offset by increases in product research expenses as well as R&amp;D personnel costs and share-based compensation. The tables below provide a breakdown of the major costs included in total R&amp;D expenses and project costs by type of expense for each of the main clinical development projects in which we are engaged for each period presented: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2400" w:type="dxa"/>
            <w:vAlign w:val="bottom"/>
            <w:tcBorders>
              <w:bottom w:val="single" w:sz="8" w:color="auto"/>
            </w:tcBorders>
            <w:gridSpan w:val="4"/>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Borders>
              <w:bottom w:val="single" w:sz="8" w:color="auto"/>
            </w:tcBorders>
          </w:tcPr>
          <w:p>
            <w:pPr>
              <w:spacing w:after="0"/>
              <w:rPr>
                <w:sz w:val="16"/>
                <w:szCs w:val="16"/>
                <w:color w:val="auto"/>
              </w:rPr>
            </w:pPr>
          </w:p>
        </w:tc>
      </w:tr>
      <w:tr>
        <w:trPr>
          <w:trHeight w:val="171"/>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Clinical Trials</w:t>
            </w: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3,476</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8,837</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8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Development and Manufacturing</w:t>
            </w: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r>
      <w:tr>
        <w:trPr>
          <w:trHeight w:val="18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 Research Expenses</w:t>
            </w:r>
          </w:p>
        </w:tc>
        <w:tc>
          <w:tcPr>
            <w:tcW w:w="9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2,002</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8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171"/>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Project Costs</w:t>
            </w:r>
          </w:p>
        </w:tc>
        <w:tc>
          <w:tcPr>
            <w:tcW w:w="9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6,312</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10,259</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(3,947)</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8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Preclinical</w:t>
            </w: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8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R&amp;D personnel costs</w:t>
            </w: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6,775</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6,509</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Consulting and Outside Services</w:t>
            </w: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Based Compensation</w:t>
            </w: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8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Depreciation/Amortization</w:t>
            </w: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All Other R&amp;D</w:t>
            </w:r>
          </w:p>
        </w:tc>
        <w:tc>
          <w:tcPr>
            <w:tcW w:w="9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1,088</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96"/>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90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17,192</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20,280</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(3,088)</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jc w:val="center"/>
              <w:ind w:right="17"/>
              <w:spacing w:after="0" w:line="107"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27"/>
        </w:trPr>
        <w:tc>
          <w:tcPr>
            <w:tcW w:w="2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3"/>
            <w:vMerge w:val="restart"/>
          </w:tcPr>
          <w:p>
            <w:pPr>
              <w:jc w:val="right"/>
              <w:ind w:right="16"/>
              <w:spacing w:after="0"/>
              <w:rPr>
                <w:sz w:val="20"/>
                <w:szCs w:val="20"/>
                <w:color w:val="auto"/>
              </w:rPr>
            </w:pPr>
            <w:r>
              <w:rPr>
                <w:rFonts w:ascii="Times New Roman" w:cs="Times New Roman" w:eastAsia="Times New Roman" w:hAnsi="Times New Roman"/>
                <w:sz w:val="13"/>
                <w:szCs w:val="13"/>
                <w:color w:val="auto"/>
              </w:rPr>
              <w:t>Total</w:t>
            </w:r>
          </w:p>
        </w:tc>
        <w:tc>
          <w:tcPr>
            <w:tcW w:w="600" w:type="dxa"/>
            <w:vAlign w:val="bottom"/>
          </w:tcPr>
          <w:p>
            <w:pPr>
              <w:spacing w:after="0"/>
              <w:rPr>
                <w:sz w:val="11"/>
                <w:szCs w:val="11"/>
                <w:color w:val="auto"/>
              </w:rPr>
            </w:pPr>
          </w:p>
        </w:tc>
        <w:tc>
          <w:tcPr>
            <w:tcW w:w="72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auto"/>
              </w:rPr>
              <w:t>inc /</w:t>
            </w:r>
          </w:p>
        </w:tc>
        <w:tc>
          <w:tcPr>
            <w:tcW w:w="140" w:type="dxa"/>
            <w:vAlign w:val="bottom"/>
          </w:tcPr>
          <w:p>
            <w:pPr>
              <w:spacing w:after="0"/>
              <w:rPr>
                <w:sz w:val="11"/>
                <w:szCs w:val="11"/>
                <w:color w:val="auto"/>
              </w:rPr>
            </w:pPr>
          </w:p>
        </w:tc>
        <w:tc>
          <w:tcPr>
            <w:tcW w:w="1340" w:type="dxa"/>
            <w:vAlign w:val="bottom"/>
            <w:gridSpan w:val="4"/>
            <w:vMerge w:val="restart"/>
          </w:tcPr>
          <w:p>
            <w:pPr>
              <w:jc w:val="right"/>
              <w:ind w:right="395"/>
              <w:spacing w:after="0"/>
              <w:rPr>
                <w:sz w:val="20"/>
                <w:szCs w:val="20"/>
                <w:color w:val="auto"/>
              </w:rPr>
            </w:pPr>
            <w:r>
              <w:rPr>
                <w:rFonts w:ascii="Times New Roman" w:cs="Times New Roman" w:eastAsia="Times New Roman" w:hAnsi="Times New Roman"/>
                <w:sz w:val="13"/>
                <w:szCs w:val="13"/>
                <w:color w:val="auto"/>
              </w:rPr>
              <w:t>Anaphylm</w:t>
            </w:r>
          </w:p>
        </w:tc>
        <w:tc>
          <w:tcPr>
            <w:tcW w:w="40" w:type="dxa"/>
            <w:vAlign w:val="bottom"/>
          </w:tcPr>
          <w:p>
            <w:pPr>
              <w:spacing w:after="0"/>
              <w:rPr>
                <w:sz w:val="11"/>
                <w:szCs w:val="11"/>
                <w:color w:val="auto"/>
              </w:rPr>
            </w:pPr>
          </w:p>
        </w:tc>
        <w:tc>
          <w:tcPr>
            <w:tcW w:w="80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auto"/>
              </w:rPr>
              <w:t>inc /</w:t>
            </w:r>
          </w:p>
        </w:tc>
        <w:tc>
          <w:tcPr>
            <w:tcW w:w="140" w:type="dxa"/>
            <w:vAlign w:val="bottom"/>
          </w:tcPr>
          <w:p>
            <w:pPr>
              <w:spacing w:after="0"/>
              <w:rPr>
                <w:sz w:val="11"/>
                <w:szCs w:val="11"/>
                <w:color w:val="auto"/>
              </w:rPr>
            </w:pPr>
          </w:p>
        </w:tc>
        <w:tc>
          <w:tcPr>
            <w:tcW w:w="1380" w:type="dxa"/>
            <w:vAlign w:val="bottom"/>
            <w:gridSpan w:val="4"/>
            <w:vMerge w:val="restart"/>
          </w:tcPr>
          <w:p>
            <w:pPr>
              <w:jc w:val="right"/>
              <w:ind w:right="415"/>
              <w:spacing w:after="0"/>
              <w:rPr>
                <w:sz w:val="20"/>
                <w:szCs w:val="20"/>
                <w:color w:val="auto"/>
              </w:rPr>
            </w:pPr>
            <w:r>
              <w:rPr>
                <w:rFonts w:ascii="Times New Roman" w:cs="Times New Roman" w:eastAsia="Times New Roman" w:hAnsi="Times New Roman"/>
                <w:sz w:val="13"/>
                <w:szCs w:val="13"/>
                <w:color w:val="auto"/>
              </w:rPr>
              <w:t>AQST-108</w:t>
            </w:r>
          </w:p>
        </w:tc>
        <w:tc>
          <w:tcPr>
            <w:tcW w:w="7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auto"/>
                <w:w w:val="96"/>
              </w:rPr>
              <w:t>inc /</w:t>
            </w:r>
          </w:p>
        </w:tc>
        <w:tc>
          <w:tcPr>
            <w:tcW w:w="160" w:type="dxa"/>
            <w:vAlign w:val="bottom"/>
          </w:tcPr>
          <w:p>
            <w:pPr>
              <w:spacing w:after="0"/>
              <w:rPr>
                <w:sz w:val="11"/>
                <w:szCs w:val="11"/>
                <w:color w:val="auto"/>
              </w:rPr>
            </w:pPr>
          </w:p>
        </w:tc>
        <w:tc>
          <w:tcPr>
            <w:tcW w:w="940" w:type="dxa"/>
            <w:vAlign w:val="bottom"/>
            <w:gridSpan w:val="3"/>
            <w:vMerge w:val="restart"/>
          </w:tcPr>
          <w:p>
            <w:pPr>
              <w:ind w:left="420"/>
              <w:spacing w:after="0"/>
              <w:rPr>
                <w:sz w:val="20"/>
                <w:szCs w:val="20"/>
                <w:color w:val="auto"/>
              </w:rPr>
            </w:pPr>
            <w:r>
              <w:rPr>
                <w:rFonts w:ascii="Times New Roman" w:cs="Times New Roman" w:eastAsia="Times New Roman" w:hAnsi="Times New Roman"/>
                <w:sz w:val="13"/>
                <w:szCs w:val="13"/>
                <w:color w:val="auto"/>
                <w:w w:val="98"/>
              </w:rPr>
              <w:t>Libervant</w:t>
            </w:r>
          </w:p>
        </w:tc>
        <w:tc>
          <w:tcPr>
            <w:tcW w:w="560" w:type="dxa"/>
            <w:vAlign w:val="bottom"/>
          </w:tcPr>
          <w:p>
            <w:pPr>
              <w:spacing w:after="0"/>
              <w:rPr>
                <w:sz w:val="11"/>
                <w:szCs w:val="11"/>
                <w:color w:val="auto"/>
              </w:rPr>
            </w:pPr>
          </w:p>
        </w:tc>
        <w:tc>
          <w:tcPr>
            <w:tcW w:w="7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auto"/>
                <w:w w:val="96"/>
              </w:rPr>
              <w:t>inc /</w:t>
            </w:r>
          </w:p>
        </w:tc>
        <w:tc>
          <w:tcPr>
            <w:tcW w:w="0" w:type="dxa"/>
            <w:vAlign w:val="bottom"/>
          </w:tcPr>
          <w:p>
            <w:pPr>
              <w:spacing w:after="0"/>
              <w:rPr>
                <w:sz w:val="1"/>
                <w:szCs w:val="1"/>
                <w:color w:val="auto"/>
              </w:rPr>
            </w:pPr>
          </w:p>
        </w:tc>
      </w:tr>
      <w:tr>
        <w:trPr>
          <w:trHeight w:val="168"/>
        </w:trPr>
        <w:tc>
          <w:tcPr>
            <w:tcW w:w="20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dec</w:t>
            </w: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dec</w:t>
            </w: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vMerge w:val="continue"/>
          </w:tcPr>
          <w:p>
            <w:pPr>
              <w:spacing w:after="0"/>
              <w:rPr>
                <w:sz w:val="14"/>
                <w:szCs w:val="14"/>
                <w:color w:val="auto"/>
              </w:rPr>
            </w:pPr>
          </w:p>
        </w:tc>
        <w:tc>
          <w:tcPr>
            <w:tcW w:w="7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9"/>
              </w:rPr>
              <w:t>dec</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vMerge w:val="continue"/>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9"/>
              </w:rPr>
              <w:t>dec</w:t>
            </w:r>
          </w:p>
        </w:tc>
        <w:tc>
          <w:tcPr>
            <w:tcW w:w="0" w:type="dxa"/>
            <w:vAlign w:val="bottom"/>
          </w:tcPr>
          <w:p>
            <w:pPr>
              <w:spacing w:after="0"/>
              <w:rPr>
                <w:sz w:val="1"/>
                <w:szCs w:val="1"/>
                <w:color w:val="auto"/>
              </w:rPr>
            </w:pPr>
          </w:p>
        </w:tc>
      </w:tr>
      <w:tr>
        <w:trPr>
          <w:trHeight w:val="163"/>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Clinical Trials</w:t>
            </w: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8,837</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(61%)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8,231</w:t>
            </w: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8"/>
              </w:rPr>
              <w:t>(63)%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588</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(26)%</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N/M</w:t>
            </w:r>
          </w:p>
        </w:tc>
        <w:tc>
          <w:tcPr>
            <w:tcW w:w="0" w:type="dxa"/>
            <w:vAlign w:val="bottom"/>
          </w:tcPr>
          <w:p>
            <w:pPr>
              <w:spacing w:after="0"/>
              <w:rPr>
                <w:sz w:val="1"/>
                <w:szCs w:val="1"/>
                <w:color w:val="auto"/>
              </w:rPr>
            </w:pPr>
          </w:p>
        </w:tc>
      </w:tr>
      <w:tr>
        <w:trPr>
          <w:trHeight w:val="168"/>
        </w:trPr>
        <w:tc>
          <w:tcPr>
            <w:tcW w:w="2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Development and Manufacturing</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175%</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8"/>
              </w:rPr>
              <w:t>149%</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510%</w:t>
            </w:r>
          </w:p>
        </w:tc>
        <w:tc>
          <w:tcPr>
            <w:tcW w:w="16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N/M</w:t>
            </w:r>
          </w:p>
        </w:tc>
        <w:tc>
          <w:tcPr>
            <w:tcW w:w="0" w:type="dxa"/>
            <w:vAlign w:val="bottom"/>
          </w:tcPr>
          <w:p>
            <w:pPr>
              <w:spacing w:after="0"/>
              <w:rPr>
                <w:sz w:val="1"/>
                <w:szCs w:val="1"/>
                <w:color w:val="auto"/>
              </w:rPr>
            </w:pPr>
          </w:p>
        </w:tc>
      </w:tr>
      <w:tr>
        <w:trPr>
          <w:trHeight w:val="172"/>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Product Research Expenses</w:t>
            </w: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2,002</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1,119</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79%</w:t>
            </w: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2,002</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w:t>
            </w:r>
          </w:p>
        </w:tc>
        <w:tc>
          <w:tcPr>
            <w:tcW w:w="40" w:type="dxa"/>
            <w:vAlign w:val="bottom"/>
            <w:tcBorders>
              <w:bottom w:val="single" w:sz="8" w:color="auto"/>
            </w:tcBorders>
            <w:shd w:val="clear" w:color="auto" w:fill="CCEEFF"/>
          </w:tcPr>
          <w:p>
            <w:pPr>
              <w:spacing w:after="0"/>
              <w:rPr>
                <w:sz w:val="14"/>
                <w:szCs w:val="14"/>
                <w:color w:val="auto"/>
              </w:rPr>
            </w:pPr>
          </w:p>
        </w:tc>
        <w:tc>
          <w:tcPr>
            <w:tcW w:w="80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2"/>
              </w:rPr>
              <w:t>115%</w:t>
            </w: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N/M</w:t>
            </w: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N/M</w:t>
            </w:r>
          </w:p>
        </w:tc>
        <w:tc>
          <w:tcPr>
            <w:tcW w:w="0" w:type="dxa"/>
            <w:vAlign w:val="bottom"/>
          </w:tcPr>
          <w:p>
            <w:pPr>
              <w:spacing w:after="0"/>
              <w:rPr>
                <w:sz w:val="1"/>
                <w:szCs w:val="1"/>
                <w:color w:val="auto"/>
              </w:rPr>
            </w:pPr>
          </w:p>
        </w:tc>
      </w:tr>
      <w:tr>
        <w:trPr>
          <w:trHeight w:val="160"/>
        </w:trPr>
        <w:tc>
          <w:tcPr>
            <w:tcW w:w="2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Project Costs</w:t>
            </w: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6,312</w:t>
            </w:r>
          </w:p>
        </w:tc>
        <w:tc>
          <w:tcPr>
            <w:tcW w:w="80" w:type="dxa"/>
            <w:vAlign w:val="bottom"/>
          </w:tcPr>
          <w:p>
            <w:pPr>
              <w:spacing w:after="0"/>
              <w:rPr>
                <w:sz w:val="13"/>
                <w:szCs w:val="13"/>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10,259</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(38%)</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5,815</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9,471</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8"/>
              </w:rPr>
              <w:t>(39%)</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w:t>
            </w:r>
          </w:p>
        </w:tc>
        <w:tc>
          <w:tcPr>
            <w:tcW w:w="80" w:type="dxa"/>
            <w:vAlign w:val="bottom"/>
          </w:tcPr>
          <w:p>
            <w:pPr>
              <w:spacing w:after="0"/>
              <w:rPr>
                <w:sz w:val="13"/>
                <w:szCs w:val="13"/>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786</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(37)%</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N/M</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Total project expenses for Anaphylm decreased 39%, or $3,656, for the year ended December 31, 2025 compared to the same period in 2024. Anaphylm clinical trial expenses decreased $5,191 over the comparable period in 2024, partially offset by increases in Anaphylm product research expenses of $1,072 due to the continued advancement of the Anaphylm program. Total project expenses for AQST-108 decreased $289 over the comparable period in 2024 due to a credit received from a vendor and due to completion of feasibility work for AQST-108 performed in the prior year period.</w:t>
      </w:r>
    </w:p>
    <w:p>
      <w:pPr>
        <w:spacing w:after="0" w:line="5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R&amp;D personnel costs and share-based compensation increased by $266, or 4% and $660, or 54%, respectively, primarily due to severance and acceleration of compensation expense, partially offset by forfeitures.</w:t>
      </w:r>
    </w:p>
    <w:p>
      <w:pPr>
        <w:spacing w:after="0" w:line="39"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Selling, general and administrative expenses increased 59%, or $29,669, for the year ended December 31, 2025 as compared to the same period in 2024. The increase primarily represents higher legal-related expenses of approximately $14,300, higher commercial spending of approximately $9,600 in preparation for the launch of Anaphylm, Anaphylm PDUFA fee of $4,310, higher personnel expenses of approximately $1,900, higher regulatory expenses related to Anaphylm of approximately $1,000, and higher share-based compensation expenses of approximately $900, partially offset by lower severance expenses of approximately $2,800 including the acceleration of share-based compensation, and lower insurance expenses of approximately $600.</w:t>
      </w:r>
    </w:p>
    <w:p>
      <w:pPr>
        <w:spacing w:after="0" w:line="5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Interest expense was $11,120 and $11,122 for the years ended December 31, 2025 and 2024, respectively. These amounts represent interest incurred on the outstanding 13.5% Notes, and amortization of the debt discount and capitalized debt issuance costs.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72" w:name="page73"/>
    <w:bookmarkEnd w:id="72"/>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Interest expense related to amortization of the discount on the royalty obligations was $5,737 and $5,459 for the years ended December 31, 2025 and 2024, respectively. These amounts are due to the accounting associated with the royalty obligations as part of the 13.5% Notes issuance.</w:t>
      </w:r>
    </w:p>
    <w:p>
      <w:pPr>
        <w:spacing w:after="0" w:line="3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 xml:space="preserve">Interest expense related to the sale of future revenue was $243 and $236 for the years ended December 31, 2025 and 2024, respectively, and represents amortization of the issuance costs. These amounts are due to the accounting associated with the sale of future revenue related to KYNMOBI royalties sold to Marathon on November 3, 2020 and do not represent or imply a monetary obligation or cash output at any time during the life of the transaction. In June 2023, Sunovion announced that it has voluntarily withdrawn KYNMOBI from the U.S. and Canadian markets. Therefore, the Company likely will not receive any of the additional contingent payments under the Monetization agreement. As a result, we discontinued recording interest expense related to the sale of future revenue in the fourth quarter of 2022. See Part II Item 8. Financial Statements and Supplementary Data, Note 17, </w:t>
      </w:r>
      <w:r>
        <w:rPr>
          <w:rFonts w:ascii="Times New Roman" w:cs="Times New Roman" w:eastAsia="Times New Roman" w:hAnsi="Times New Roman"/>
          <w:sz w:val="14"/>
          <w:szCs w:val="14"/>
          <w:i w:val="1"/>
          <w:iCs w:val="1"/>
          <w:color w:val="auto"/>
        </w:rPr>
        <w:t>Sale of Future Revenue</w:t>
      </w:r>
      <w:r>
        <w:rPr>
          <w:rFonts w:ascii="Times New Roman" w:cs="Times New Roman" w:eastAsia="Times New Roman" w:hAnsi="Times New Roman"/>
          <w:sz w:val="14"/>
          <w:szCs w:val="14"/>
          <w:color w:val="auto"/>
        </w:rPr>
        <w:t xml:space="preserve"> for details.</w:t>
      </w:r>
    </w:p>
    <w:p>
      <w:pPr>
        <w:spacing w:after="0" w:line="5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Interest income and other income, net was $4,367 and $3,437 for the years ended December 31, 2025 and 2024, respectively. The increase primarily represents a ERTC credit received in April 2025. In June 2024, the Company recorded a gain of $1,500 on the termination of a license and supply agreement, which was partially offset by the adjustment of $1,200 to the remaining balance of the intangible asset due to the termination of the agreement.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Sources of Liquidity</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had $121,169 in cash and cash equivalents as of December 31, 2025. While our ability to execute our business objectives and achieve profitability over the longer term cannot be assured, our on-going business, existing cash and cash equivalents, expense management activities, potential asset sales or product outlicensing as well as access to the equity capital markets, including through our ATM facility, provide near term liquidity for us to fund our operating needs for at least the next twelve months as we continue to execute our business strategy.</w:t>
      </w:r>
    </w:p>
    <w:p>
      <w:pPr>
        <w:spacing w:after="0" w:line="5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established our first ATM facility in September 2019, and since inception to December 31, 2025, we have sold 27,315,145 shares of Common Stock which has generated net cash proceeds of approximately $81,753, net of commissions and other transactions costs of $3,890. On April 3, 2024, we filed a new shelf registration statement on Form S-3 to register the offer and sale of up to $250,000 worth of shares of Common Stock ("Registration Statement No. 333-278498" or the "2024 Registration Statement"), that was declared effective by the SEC on April 23, 2024. Included as part of the 2024 Registration Statement was a $100,000 ATM facility pursuant to the Amended Equity Distribution Agreement with Piper Sandler &amp; Co.</w:t>
      </w:r>
    </w:p>
    <w:p>
      <w:pPr>
        <w:spacing w:after="0" w:line="5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For the year ended December 31, 2025, we sold 7,457,627 shares under the ATM facility which provided net proceeds of approximately $21,229 after deducting commissions and other transaction costs of $771. For the year ended December 31, 2024, we sold 4,557,220 shares under the ATM facility which provided net proceeds of approximately $11,821 after deducting commissions and other transaction costs of $564. The remaining authorized balance of the ATM facility was $78,000 as of December 31, 2025.</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June 6, 2022, we entered into the Securities Purchase Agreements with certain purchasers. The Securities Purchase Agreements provided for the sale and issuance by us of an aggregate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(i) 4,850,000 shares of Common Stock, (ii) pre-funded warrants to purchase up to 4,000,000 shares of Common Stock and (iii) Common Stock Warrants to purchase up to 8,850,000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Common Stock. The pre-funded warrants were fully exercised in 2022. In June 2023, 3,689,452 Common Stock warrants issued pursuant to the Securities Purchase Agreements were exercised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proceeds of approximately $3,542.</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On August 2023, we entered into the Letter Agreement with the Exercising Holder of 5,000,000 of the remaining Common Stock Warrants. Pursuant to the Letter Agreement, the Exercising Holder and Aquestive agreed that the Exercising Holder would exercise all of its Existing Warrants at the then current exercise price of the Existing Warrants. The Exercising Holder subsequently exercised the Existing Warrants, with Aquestive receiving gross proceeds of $4,800. We also issued to the Exercising Holder New Warrants to purchase up to an aggregate of 2,750,000 shares of Common Stock. The New Warrants are exercisable after February 2, 2024, expire on February 2, 2029 and are exercisable only for cash, unless the shares of Common Stock underlying the New Warrants are not registered in accordance with the terms of the Letter Agreement, in which case the New Warrants may also be exercised by means of a "cashless exercise". The New Warrants have an exercise price of $2.60 per share. During the year ended December 31, 2025, 550,000 shares were issued upon the exercise of warrants with the Company receiving proceeds of $1,430 as it relates to the Warrants issued under Securities Purchase Agreements.</w:t>
      </w:r>
    </w:p>
    <w:p>
      <w:pPr>
        <w:spacing w:after="0" w:line="62"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On November 1, 2023, we issued $45,000 aggregate principal amount of its 13.5% Notes due November 1, 2028. A portion of the net proceeds from that Offering was used to redeem all of the remaining outstanding 12.5% Notes and to pay expenses relating to that Offering, with the balance of the proceeds to be used for general corporate purposes. Interest on the 13.5% Notes accrues at a rate of 13.5% per annum and is payable quarterly in arrears on March 30, June 30, September 30 and December 30 of each year commencing on December 30, 2023. The 13.5% Notes are interest-only until June 30, 2026, whereupon on such date and each payment date thereafter we will also pay an installment of principal of the 13.5% Notes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73" w:name="page74"/>
    <w:bookmarkEnd w:id="73"/>
    <w:p>
      <w:pPr>
        <w:jc w:val="both"/>
        <w:spacing w:after="0" w:line="263" w:lineRule="auto"/>
        <w:rPr>
          <w:sz w:val="20"/>
          <w:szCs w:val="20"/>
          <w:color w:val="auto"/>
        </w:rPr>
      </w:pPr>
      <w:r>
        <w:rPr>
          <w:rFonts w:ascii="Times New Roman" w:cs="Times New Roman" w:eastAsia="Times New Roman" w:hAnsi="Times New Roman"/>
          <w:sz w:val="14"/>
          <w:szCs w:val="14"/>
          <w:color w:val="auto"/>
        </w:rPr>
        <w:t>pursuant to a fixed amortization schedule, along with a portion of an Exit Fee determined as of the applicable date of prepayment, payment, acceleration, repurchase or redemption, as the case may be.</w:t>
      </w:r>
    </w:p>
    <w:p>
      <w:pPr>
        <w:spacing w:after="0" w:line="24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On March 22, 2024, we completed an underwritten public offering of 16,666,667 shares of our common stock at the public offering price of $4.50 per share. In addition, pursuant to the partial exercise of the underwriters' option, on April 22, 2024, we sold an additional 559,801 shares of Common Stock. Net proceeds from the 2024 Underwritten Public Offering, including the exercise of underwriters' option were $72,868, after deducting underwriting discounts of $4,651. In addition to the underwriting discounts related to this offering, we incurred professional fees and other costs totaling $894.</w:t>
      </w:r>
    </w:p>
    <w:p>
      <w:pPr>
        <w:spacing w:after="0" w:line="56"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On August 13, 2025, we entered into a purchase and sale agreement with funds managed by RTW Investments LP ("RTW" or "Purchaser"). Under the terms of the Purchase and Sale Agreement, in exchange for the Purchaser's payment to the Company of a purchase price of $75,000, upon approval of Anaphylm by the FDA by a specified date, the refinancing of the Company’s existing 13.5% Notes and certain other customary conditions, the Company agreed to a sale of assigned interests to the Purchaser, including a right for the Purchaser to tiered revenue share payments ranging from 7.5% to 1.0% of net sales (as defined in the Purchase and Sale Agreement) (and 9.5% if net sales do not achieve specified levels in subsequent calendar year periods beginning in 2027) in the United States. Revenue share payments commence in the first fiscal quarter in which the first commercial sale of Anaphylm in the United States after the closing of the transaction. Revenue share payments will cease upon the Purchaser's receipt of $187,500 by December 31, 2035 or $225,000 thereafter. The Purchase and Sale Agreement contains customary affirmative and negative covenants, including covenants that limit or restrict the Company’s ability to, among other things, incur indebtedness (which restrictions are eliminated after the achievement by the Purchaser of a specified return on its investment), and other provisions customary for transactions of this nature, in each case subject to certain exceptions set forth in the Purchase Agreement.</w:t>
      </w:r>
    </w:p>
    <w:p>
      <w:pPr>
        <w:spacing w:after="0" w:line="6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On March 3, 2026, we entered into Amendment No. 1 to the Purchase and Sale Agreement, dated August 13, 2025, with funds managed by RTW. The Amendment extends the Marketing Approval Deadline for Anaphylm from its original date to June 30, 2027. Concurrently, we entered into a Warrant Issuance Agreement with funds managed by RTW, pursuant to which we agreed to issue a warrant to such funds to purchase up to 375,000 shares of our Common Stock at an exercise price of $4.00 per share, expiring on March 3, 2029. On March 3, 2026, we also entered into a Share Purchase Commitment Agreement with certain RTW-affiliated funds, pursuant to which such funds committed to purchase, in the aggregate, not less than $5.0 million of Common Stock during the 90-day period following the effective date of the agreement, at prices determined in accordance with Rule 415(a)(4) under the Securities Act.</w:t>
      </w:r>
    </w:p>
    <w:p>
      <w:pPr>
        <w:spacing w:after="0" w:line="5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On August 14, 2025, we completed an underwritten public offering of 21,250,000 shares of our common stock at the public offering price of $4.00 per share. Net proceeds from the 2025 Underwritten Public Offering were $79,900, after deducting underwriting discounts of $5,100. In addition to the underwriting discounts related to this offering, we incurred professional fees and other costs totaling $440.</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1"/>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for operating activities</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(52,432)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(35,759)</w:t>
            </w:r>
          </w:p>
        </w:tc>
      </w:tr>
      <w:tr>
        <w:trPr>
          <w:trHeight w:val="18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for investing activities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r>
      <w:tr>
        <w:trPr>
          <w:trHeight w:val="18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102,617</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83,592</w:t>
            </w:r>
          </w:p>
        </w:tc>
      </w:tr>
      <w:tr>
        <w:trPr>
          <w:trHeight w:val="17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49,623</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47,674</w:t>
            </w:r>
          </w:p>
        </w:tc>
      </w:tr>
      <w:tr>
        <w:trPr>
          <w:trHeight w:val="20"/>
        </w:trPr>
        <w:tc>
          <w:tcPr>
            <w:tcW w:w="8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Cash Used for Operating Activities</w:t>
      </w:r>
    </w:p>
    <w:p>
      <w:pPr>
        <w:spacing w:after="0" w:line="9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Net cash used for operating activities for the year ended December 31, 2025 increased by $16,673 compared to the same period in 2024. The increase in cash used for operating activities was primarily related to the increases in net loss by $39,647, in trade and other receivables by $11,466, and in inventories by $851, partially offset by increases in liabilities by $21,265 largely due to obligations under a confidential legal settlement, changes in deferred revenue of $12,272, which were mostly attributed to the recognition of deferred revenues due to the termination of license and supply agreements during the year ended December 31, 2024, and decreases in prepaid expenses and other assets by $921.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Cash Used for Investing Activities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Net cash used for investing activities for the year ended December 31, 2025 increased by $403 compared to the same period in 2024. The use of cash was related to capital expenditures.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i w:val="1"/>
          <w:iCs w:val="1"/>
          <w:color w:val="auto"/>
        </w:rPr>
        <w:t>Net Cash Provided by Financing Activities</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Net cash provided by financing activities for the year ended December 31, 2025 increased by $19,025 compared to the same period in 2024. The increase was primarily related to net proceeds of $79,460 from the 2025 Underwritten Public Offering as compared to net proceeds of $71,974 from the 2024 Underwritten Public Offering, higher ATM proceeds by $9,411 due to higher volumes and Common Stock prices as compared to the prior year, higher net proceeds from exercise of warrants by $1,265, and higher net proceeds from exercise of options by $538.</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Funding Requirements</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Our on-going business, existing cash and equivalents, expense management activities as well as access to the equity capital markets, including through our ATM facility, and potential asset sales or product outlicensing potentially provide near term funding opportunities for Aquestive, see “Liquidity and Capital Resources”. On November 1, 2023, we issued $45,000 in aggregate principal amount of the 13.5% Notes due November 1, 2028. Principal payments of the 13.5% Notes will commence in June 2026, unless the 13.5% Notes are refinanced or amended.</w:t>
      </w:r>
    </w:p>
    <w:p>
      <w:pPr>
        <w:spacing w:after="0" w:line="40"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4"/>
          <w:szCs w:val="14"/>
          <w:color w:val="auto"/>
        </w:rPr>
        <w:t>We have used and intend to continue to use our existing cash and cash equivalents, primarily to advance the development and commercialization of our product pipeline and for working capital, capital expenditures and general corporate purposes. We can provide no assurance that any sources of funding, either individually or in combination, will be available on reasonable terms, if at all, or sufficient to fund our business objectives. In addition, we may be required to utilize available financial resources sooner than expected. We have based our expectation on assumptions that could change or prove to be inaccurate, due to unrelated factors including factors arising in the capital markets, asset monetization markets, regulatory approval process, and regulatory oversight and other factors. Key factors and assumptions inherent in our planned continued operations and anticipated growth include, without limitation, those related to the following:</w:t>
      </w:r>
    </w:p>
    <w:p>
      <w:pPr>
        <w:spacing w:after="0" w:line="70" w:lineRule="exact"/>
        <w:rPr>
          <w:sz w:val="20"/>
          <w:szCs w:val="20"/>
          <w:color w:val="auto"/>
        </w:rPr>
      </w:pPr>
    </w:p>
    <w:p>
      <w:pPr>
        <w:ind w:left="760" w:hanging="246"/>
        <w:spacing w:after="0" w:line="287" w:lineRule="auto"/>
        <w:tabs>
          <w:tab w:leader="none" w:pos="75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ability of our customers to pay, in a timely manner, for presently contracted and future anticipated orders for our manufactured products, including effects of generics and other competitive pressures as currently envisioned;</w:t>
      </w:r>
    </w:p>
    <w:p>
      <w:pPr>
        <w:spacing w:after="0" w:line="3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of Anaphylm by the FDA;</w:t>
      </w:r>
    </w:p>
    <w:p>
      <w:pPr>
        <w:spacing w:after="0" w:line="93" w:lineRule="exact"/>
        <w:rPr>
          <w:rFonts w:ascii="Times New Roman" w:cs="Times New Roman" w:eastAsia="Times New Roman" w:hAnsi="Times New Roman"/>
          <w:sz w:val="14"/>
          <w:szCs w:val="14"/>
          <w:color w:val="auto"/>
        </w:rPr>
      </w:pPr>
    </w:p>
    <w:p>
      <w:pPr>
        <w:ind w:left="760" w:hanging="246"/>
        <w:spacing w:after="0" w:line="287" w:lineRule="auto"/>
        <w:tabs>
          <w:tab w:leader="none" w:pos="75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ability of our customers to pay, in a timely manner, for presently contracted and future anticipated orders for provided co-development and feasibility services, as well as regulatory support services for recently licensed products;</w:t>
      </w:r>
    </w:p>
    <w:p>
      <w:pPr>
        <w:spacing w:after="0" w:line="3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obligation to commence the 13.5% Notes principal payments in June 2026, unless they are refinanced or amended;</w:t>
      </w:r>
    </w:p>
    <w:p>
      <w:pPr>
        <w:spacing w:after="0" w:line="93" w:lineRule="exact"/>
        <w:rPr>
          <w:rFonts w:ascii="Times New Roman" w:cs="Times New Roman" w:eastAsia="Times New Roman" w:hAnsi="Times New Roman"/>
          <w:sz w:val="14"/>
          <w:szCs w:val="14"/>
          <w:color w:val="auto"/>
        </w:rPr>
      </w:pPr>
    </w:p>
    <w:p>
      <w:pPr>
        <w:ind w:left="760" w:hanging="246"/>
        <w:spacing w:after="0" w:line="287" w:lineRule="auto"/>
        <w:tabs>
          <w:tab w:leader="none" w:pos="75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access to debt or equity markets if, and at the time, needed for any necessary future funding, including our ability to access funding through our ATM facility, should we choose to access this facility;</w:t>
      </w:r>
    </w:p>
    <w:p>
      <w:pPr>
        <w:spacing w:after="0" w:line="3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review and appropriate adjustment of our cost structure consistent with our anticipated revenues and funding;</w:t>
      </w:r>
    </w:p>
    <w:p>
      <w:pPr>
        <w:spacing w:after="0" w:line="93" w:lineRule="exact"/>
        <w:rPr>
          <w:rFonts w:ascii="Times New Roman" w:cs="Times New Roman" w:eastAsia="Times New Roman" w:hAnsi="Times New Roman"/>
          <w:sz w:val="14"/>
          <w:szCs w:val="14"/>
          <w:color w:val="auto"/>
        </w:rPr>
      </w:pPr>
    </w:p>
    <w:p>
      <w:pPr>
        <w:ind w:left="760" w:hanging="246"/>
        <w:spacing w:after="0" w:line="287" w:lineRule="auto"/>
        <w:tabs>
          <w:tab w:leader="none" w:pos="75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growth and market penetration of Sympazan, including anticipated patient and physician acceptance and our licensee’s ability to obtain adequate reimbursement and payment support from government agencies and other private medical insurers;</w:t>
      </w:r>
    </w:p>
    <w:p>
      <w:pPr>
        <w:spacing w:after="0" w:line="3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infrastructure and administrative costs at expected levels to support operations as an FDA and highly regulated public company;</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manageable level of costs for ongoing efforts to protect our intellectual property rights and litigation matters in which we are involved;</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compliance with all covenants under our 13.5% Notes, including our ability to comply with our debt service obligations as required thereunder; and</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absence of significant unforeseen cash requirements.</w:t>
      </w:r>
    </w:p>
    <w:p>
      <w:pPr>
        <w:spacing w:after="0" w:line="9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4"/>
          <w:szCs w:val="14"/>
          <w:color w:val="auto"/>
        </w:rPr>
        <w:t>We expect to continue to manage business costs to appropriately reflect the anticipated general decline in Suboxone revenue, and other external resources or factors affecting our business including, if available, future equity financing, other future access to the capital markets or other potential available sources of liquidity. In doing so, we plan to continue to focus on the core drivers of value for our stockholders, including, more importantly, continued investments in our ongoing product development activities in support of Anaphylm and AQST-108. Until profitability is achieved, if at all, additional capital and/or other financing or funding will be required, which could be material, to develop and commercialize our product pipeline, including AQST-108, and to fund additional development and commercial activities that are required by the FDA for Anaphylm under the CRL issued to the Company on January 30, 2026, and to meet our other cash requirements, including debt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75" w:name="page76"/>
    <w:bookmarkEnd w:id="75"/>
    <w:p>
      <w:pPr>
        <w:jc w:val="both"/>
        <w:spacing w:after="0" w:line="287" w:lineRule="auto"/>
        <w:rPr>
          <w:sz w:val="20"/>
          <w:szCs w:val="20"/>
          <w:color w:val="auto"/>
        </w:rPr>
      </w:pPr>
      <w:r>
        <w:rPr>
          <w:rFonts w:ascii="Times New Roman" w:cs="Times New Roman" w:eastAsia="Times New Roman" w:hAnsi="Times New Roman"/>
          <w:sz w:val="14"/>
          <w:szCs w:val="14"/>
          <w:color w:val="auto"/>
        </w:rPr>
        <w:t>service, specifically our 13.5% Notes. Even as such, we expect to incur losses and negative cash flows for the foreseeable future and, therefore, we expect to be dependent upon external financing and funding to achieve our operating plan.</w:t>
      </w:r>
    </w:p>
    <w:p>
      <w:pPr>
        <w:spacing w:after="0" w:line="3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 xml:space="preserve">The sufficiency of our short-term and longer-term liquidity is directly impacted by our level of operating revenues and our ability to achieve our operating plan for revenues, regulatory approval in the time period planned for our product candidates and licensed rights within planned timeframes, and there can be no assurance that we will be successful in any transaction. Our operating revenues have fluctuated in the past and can be expected to fluctuate in the future. We expect to incur significant operating losses and negative operating cash flows for the foreseeable future, and we have a significant level of debt with principal payments starting in June 2026 through the debt maturity date, substantial ongoing interest payments, and royalty obligation payments projected to be made through 2035, which are further discussed in Part II Item 8. Financial Statements and Supplementary Data, Note 15,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A substantial portion of our current and past revenues has been dependent upon our licensing, manufacturing and sales with one customer, Indivior, which is expected to continue, and it could take significantly longer than planned to achieve anticipated levels of cash flows to help fund our operations and cash needs.</w:t>
      </w:r>
    </w:p>
    <w:p>
      <w:pPr>
        <w:spacing w:after="0" w:line="62"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We are currently engaging in plans to commercialize Anaphylm through our own sales force in the United States, should Anaphylm be approved by the FDA. We will need to raise significant funding to support the continued commercialization of Anaphylm over the long-term, in addition to the funds we may receive under the Purchase Agreement and the funds we received in the 2025 Underwritten Public Offering. To the extent such additional financing through debt or debt-like instruments is required, we may have increased repayment obligations and potential limits on our flexibility to raise additional debt. To the extent that we raise additional funds by issuance of equity securities, our stockholders would experience further dilution, and the terms of these securities could include liquidation or other preferences (if and to the extent permitted under the Indenture Agreement) that would adversely affect our stockholders’ rights. Our ability to secure additional equity financing could be significantly impacted by numerous factors including our operating performance and prospects, positive or negative developments in the regulatory approval process for our product candidates, our existing level of debt which is secured by substantially all of our assets under the Indenture Agreement, and general financial market conditions, and there can be no assurance that we will continue to be successful in raising capital or that any such needed financing will be available on favorable or acceptable terms, if at all.</w:t>
      </w:r>
    </w:p>
    <w:p>
      <w:pPr>
        <w:spacing w:after="0" w:line="6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4"/>
          <w:szCs w:val="14"/>
          <w:color w:val="auto"/>
        </w:rPr>
        <w:t>If adequate funds are not available for our short-term or longer-term liquidity needs and cash requirements as and when needed, we would be required to engage in expense management activities such as reducing staff, delaying, significantly scaling back, or even discontinuing some or all of our current or planned launch activities, R&amp;D programs and clinical and other product development activities, and otherwise significantly reducing our other spending and adjusting our operating plan, and we would need to seek to take other steps intended to improve our liquidity. We also may seek outlicensing opportunities for our proprietary products and product candidate programs that we may self-commercialize, including for Libervant and Anaphylm, or explore other potential liquidity options or strategic opportunities. Such strategic opportunities could include asset sales, outlicensing or other monetization opportunities of our proprietary products and product candidates, including Libervant and Anaphylm, although we cannot assure that any of these actions or opportunities would be available or available on acceptable terms. While an outlicensing of our proprietary products and product candidates, if approved by the FDA, could limit our exposure to the costs of commercialization of the product and provide a potential source of royalty and milestone revenues, the benefit from the potential future value that could result from our independent commercialization of these products and product candidates, assuming a successful launch of our proprietary products and product candidates, if approved by the FDA, would likely be limited. In addition, in the event of any such asset sales or outlicensing transactions, the future growth of the Company would be dependent on continued successful development of our early stage product candidates and/or asset acquisitions or other strategic transactions for the Company. There is no assurance that any such outlicensing or other strategic opportunities will be available or available on reasonable terms.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 and Commitments</w:t>
      </w:r>
    </w:p>
    <w:p>
      <w:pPr>
        <w:spacing w:after="0" w:line="9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 xml:space="preserve">We have entered into various contractual agreements under which we have long term obligations. For more information regarding our commitments, see Part II, Item 8. Financial Statements and Supplementary Data, Note 23, </w:t>
      </w:r>
      <w:r>
        <w:rPr>
          <w:rFonts w:ascii="Times New Roman" w:cs="Times New Roman" w:eastAsia="Times New Roman" w:hAnsi="Times New Roman"/>
          <w:sz w:val="14"/>
          <w:szCs w:val="14"/>
          <w:i w:val="1"/>
          <w:iCs w:val="1"/>
          <w:color w:val="auto"/>
        </w:rPr>
        <w:t>Contingencies.</w:t>
      </w:r>
    </w:p>
    <w:p>
      <w:pPr>
        <w:spacing w:after="0" w:line="37"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 xml:space="preserve">For more information regarding our future lease payments, see Part II, Item 8. Financial Statements and Supplementary Data, Note 11, </w:t>
      </w:r>
      <w:r>
        <w:rPr>
          <w:rFonts w:ascii="Times New Roman" w:cs="Times New Roman" w:eastAsia="Times New Roman" w:hAnsi="Times New Roman"/>
          <w:sz w:val="14"/>
          <w:szCs w:val="14"/>
          <w:i w:val="1"/>
          <w:iCs w:val="1"/>
          <w:color w:val="auto"/>
        </w:rPr>
        <w:t>Right-of-Use Assets and Lease Obligations</w:t>
      </w:r>
      <w:r>
        <w:rPr>
          <w:rFonts w:ascii="Times New Roman" w:cs="Times New Roman" w:eastAsia="Times New Roman" w:hAnsi="Times New Roman"/>
          <w:sz w:val="14"/>
          <w:szCs w:val="14"/>
          <w:color w:val="auto"/>
        </w:rPr>
        <w:t xml:space="preserve"> for our minimum lease payments schedule. The expected timing of our leases may be different in future years, depending on our decision to extend terms of leases entered in proceeding years and/or enter into new leases.</w:t>
      </w:r>
    </w:p>
    <w:p>
      <w:pPr>
        <w:spacing w:after="0" w:line="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For more information on our obligations related to the 13.5% Notes, see Part II, Item 8. Financial Statements and Supplementary Data, Note 15,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Use of Estimates</w:t>
      </w:r>
    </w:p>
    <w:p>
      <w:pPr>
        <w:spacing w:after="0" w:line="9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have based our Management’s Discussion and Analysis of our financial condition and results of operations on our Financial Statements, which have been prepared in accordance with generally accepted accounting principles, or GAAP, in the U.S. The preparation of the Financial Statements requires us to make estimates and judgments that affect the reported amounts of assets and liabilities at the date of the financial statements as well as the revenues and expenses during the reporting periods. On an ongoing basis, we evaluate our estimates and judgments. We base our estimates on historical experience when available and on various other assumptions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56"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color w:val="auto"/>
        </w:rPr>
        <w:t xml:space="preserve">While significant accounting policies are more fully described in Part II Item 8. Financial Statements and Supplementary Data, Note 3,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included in this filing, we believe that the following accounting policies are those that are most critical to the significant judgments and estimates used in the preparation of our Financial Statements.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License and Royalty Revenue </w:t>
      </w:r>
      <w:r>
        <w:rPr>
          <w:rFonts w:ascii="Times New Roman" w:cs="Times New Roman" w:eastAsia="Times New Roman" w:hAnsi="Times New Roman"/>
          <w:sz w:val="14"/>
          <w:szCs w:val="14"/>
          <w:color w:val="auto"/>
        </w:rPr>
        <w:t>– license revenues are determined based on an assessment of whether the license is distinct from any other performance obligations that may be included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underlying licensing arrangement. If the customer is able to benefit from the license without provision of any other performance obligations by the Company and the license is thereby viewed as a distinct or functional license, the Company then determines whether the customer has acquired a right to use the license or a right to access the license. For functional licenses that do not require further development or other ongoing activities by the Company, the customer is viewed as acquiring the right to use the license as, and when, transferred and revenues are generally recorded at a point in time, subject to contingencies or constraints. For symbolic licenses providing substantial value only in conjunction with other performance obligations to be provided by the Company, revenues are generally recorded over the term of the license agreement. Such other obligations provided by the Company generally include manufactured products, additional development services or other deliverables that are contracted to be provided during the license term. Payments received in excess of amounts ratably or otherwise earned are deferred and recognized over the term of the license or as contingencies or other performance obligations are met.</w:t>
      </w:r>
    </w:p>
    <w:p>
      <w:pPr>
        <w:spacing w:after="0" w:line="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Royalty revenue is estimated and recognized when sales under supply agreements with commercial licensees are recorded, absent any contractual constraints or collectability uncertainties.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Royalties based on sales of licensed products have been recorded in this manner.</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Revenue recognition arising from milestone payments is dependent upon the facts and circumstances surrounding the milestone payments. Milestone payments based on a non-sales metric such as a development-based milestone (i</w:t>
      </w:r>
      <w:r>
        <w:rPr>
          <w:rFonts w:ascii="Times New Roman" w:cs="Times New Roman" w:eastAsia="Times New Roman" w:hAnsi="Times New Roman"/>
          <w:sz w:val="14"/>
          <w:szCs w:val="14"/>
          <w:i w:val="1"/>
          <w:iCs w:val="1"/>
          <w:color w:val="auto"/>
        </w:rPr>
        <w:t>.e</w:t>
      </w:r>
      <w:r>
        <w:rPr>
          <w:rFonts w:ascii="Times New Roman" w:cs="Times New Roman" w:eastAsia="Times New Roman" w:hAnsi="Times New Roman"/>
          <w:sz w:val="14"/>
          <w:szCs w:val="14"/>
          <w:color w:val="auto"/>
        </w:rPr>
        <w:t>., an NDA filing or obtaining regulatory approval) represent variable consideration and are included in the transaction price subject to any constraints. If the milestone payments relate to future development, the timing of recognition depends upon historical experience and the significance a third party has on the outcome. For milestone payments to be received upon the achievement of a sales threshold, the revenue from the milestone payments is recognized at the later of when the actual sales occur or the performance obligation to which the sales relate to has been satisfied.</w:t>
      </w:r>
    </w:p>
    <w:p>
      <w:pPr>
        <w:spacing w:after="0" w:line="56"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Co-development and Research Fees </w:t>
      </w:r>
      <w:r>
        <w:rPr>
          <w:rFonts w:ascii="Times New Roman" w:cs="Times New Roman" w:eastAsia="Times New Roman" w:hAnsi="Times New Roman"/>
          <w:sz w:val="14"/>
          <w:szCs w:val="14"/>
          <w:color w:val="auto"/>
        </w:rPr>
        <w:t>– co-development and research fees are earned through performance of specific tasks, activities or completion of stages of development defined within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contractual development or feasibility study agreement with a customer. The nature of these performance obligations, broadly referred to as milestones or deliverables, are usually dependent on the scope and structure of the project as contracted, as well as the complexity of the product and the specific regulatory approval path necessary for that product. Accordingly, the duration of the Company’s R&amp;D projects may range from several months to approximately three years. Although each contractual arrangement is unique, common milestones included in these arrangements include those for the performance of efficacy and other tests, reports of findings, formulation of initial prototypes, production of stability clinical and/or scale-up batches, and stability testing of those batches. Additional milestones may be established and linked to clinical results of the product submission and/or approval of the product by the FDA and the commercial launch of the product.</w:t>
      </w:r>
    </w:p>
    <w:p>
      <w:pPr>
        <w:spacing w:after="0" w:line="57"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Proprietary product revenue, net - </w:t>
      </w:r>
      <w:r>
        <w:rPr>
          <w:rFonts w:ascii="Times New Roman" w:cs="Times New Roman" w:eastAsia="Times New Roman" w:hAnsi="Times New Roman"/>
          <w:sz w:val="14"/>
          <w:szCs w:val="14"/>
          <w:color w:val="auto"/>
        </w:rPr>
        <w:t>this net revenue is recognized when product is shipped and title passes to the customer, typically at time of delivery. At the time of sale, estimates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various revenue allowances are recorded based on historical trends and judgmental estimates. For sales of Libervant for patients between two to five years of age while Libervant had U.S. market access through April 2025, returns allowances and prompt pay discounts are estimated based on contract terms and historical return rates, if available, and these estimates are recorded as a reduction of receivables. Once receivables are collected, allowances are reclassified and treated as accrued liabilities. Similarly determined estimates are recorded relating to wholesaler service fees, co-pay support redemptions, and other rebates, and these estimates are reflected as a component of accrued liabilities. Once related variable considerations are resolved and uncertainties as to incurred amounts are eliminated,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color w:val="auto"/>
        </w:rPr>
        <w:t>estimates are adjusted to actual allowance amounts. Provisions for these estimated amounts are reviewed and adjusted on no less than a quarterly basis.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Royalty Obligations and Interest Expense</w:t>
      </w:r>
    </w:p>
    <w:p>
      <w:pPr>
        <w:spacing w:after="0" w:line="9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 xml:space="preserve">In connection with the issuance of the 13.5% Notes, we entered into a Royalty Rights Agreement with each of the Note Holders granting the Note Holders a tiered royalty between 1.0% and 2.0% of annual worldwide net sales of Anaphylm (epinephrine) Sublingual Film for a period of eight years from the first sale of Anaphylm on a global basis. The note holders are also entitled to a tiered royalty between 1.0% to 2.0% of annual worldwide net sales of Libervant (diazepam) Buccal Film until the earlier of (1) the first sale of Anaphylm and (2) eight years from the first sale of Libervant. The Royalty Rights Agreements are classified as debt, and the value of the $45,000 13.5% Notes has been allocated between debt and the royalty obligations based on their relative fair market values. The excess of future estimated royalty payments over the allocated fair value is recognized as a discount related to the Royalty Right Agreements and is amortized over the life of the Royalty Rights Agreements. Such amortization is reflected as interest expense related to royalty obligations in the Statements of Operations and Comprehensive Loss. The 13.5% Notes are discussed in Part II Item 8. Financial Statements and Supplementary Data, Note 15, </w:t>
      </w:r>
      <w:r>
        <w:rPr>
          <w:rFonts w:ascii="Times New Roman" w:cs="Times New Roman" w:eastAsia="Times New Roman" w:hAnsi="Times New Roman"/>
          <w:sz w:val="14"/>
          <w:szCs w:val="14"/>
          <w:i w:val="1"/>
          <w:iCs w:val="1"/>
          <w:color w:val="auto"/>
        </w:rPr>
        <w:t>Long-Term Debt.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Liability and interest expense related to sale of future revenue</w:t>
      </w:r>
    </w:p>
    <w:p>
      <w:pPr>
        <w:spacing w:after="0" w:line="9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 xml:space="preserve">We treated the sale of future revenue related to KYNMOBI as debt financing in accordance with ASC 470 Debt, amortized under the effective interest rate method over the estimated life of the related expected royalty stream. The liability related to the sale of future revenue has been initially recorded at its proceeds, net of deferred cost. The liability related to the sale of future revenue and the related interest expense are based on our current estimates of future royalties expected to be paid over the life of the arrangement. We periodically assess the expected royalty payments using a combination of internal projections and forecasts from external resources. To the extent our future estimates of royalty payments are greater or less than previous estimates or the timing of such payments is materially different than its previous estimates, we will prospectively adjust the related interest expense. Amortization of debt is reflected as interest expense related to the sale of future revenue in the Statements of Operations and Comprehensive Loss. For further discussion of the sale of the future revenue, see Part II Item 8. Financial Statements and Supplementary Data, Note 17, </w:t>
      </w:r>
      <w:r>
        <w:rPr>
          <w:rFonts w:ascii="Times New Roman" w:cs="Times New Roman" w:eastAsia="Times New Roman" w:hAnsi="Times New Roman"/>
          <w:sz w:val="14"/>
          <w:szCs w:val="14"/>
          <w:i w:val="1"/>
          <w:iCs w:val="1"/>
          <w:color w:val="auto"/>
        </w:rPr>
        <w:t>Sale of Future Revenue</w:t>
      </w:r>
      <w:r>
        <w:rPr>
          <w:rFonts w:ascii="Times New Roman" w:cs="Times New Roman" w:eastAsia="Times New Roman" w:hAnsi="Times New Roman"/>
          <w:sz w:val="14"/>
          <w:szCs w:val="14"/>
          <w:color w:val="auto"/>
        </w:rPr>
        <w: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94"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color w:val="auto"/>
        </w:rPr>
        <w:t xml:space="preserve">Refer to Part II Item 8. Financial Statements and Supplementary Data, Note 3,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xml:space="preserve"> in the accompanying Notes to our Financial Statements for a discussion of recent accounting pronouncements.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78" w:name="page79"/>
    <w:bookmarkEnd w:id="78"/>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7A.</w:t>
        <w:tab/>
        <w:t>Quantitative and Qualitative Disclosures about Market Risk</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Item 7A is not applicable to us as a smaller reporting company and has been omitted.</w:t>
      </w:r>
    </w:p>
    <w:p>
      <w:pPr>
        <w:spacing w:after="0" w:line="9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8.</w:t>
        <w:tab/>
        <w:t>Financial Statements and Supplementary Data</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financial statements, together with the report of our independent registered public accounting firm, appear in this Annual Report on Form 10-K beginning on page F-1.</w:t>
      </w:r>
    </w:p>
    <w:p>
      <w:pPr>
        <w:spacing w:after="0" w:line="9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9.</w:t>
        <w:tab/>
        <w:t>Change in and Disagreements with Accountants on Accounting and Financial Disclosure</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9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9A.</w:t>
      </w:r>
      <w:r>
        <w:rPr>
          <w:sz w:val="20"/>
          <w:szCs w:val="20"/>
          <w:color w:val="auto"/>
        </w:rPr>
        <w:tab/>
      </w:r>
      <w:r>
        <w:rPr>
          <w:rFonts w:ascii="Times New Roman" w:cs="Times New Roman" w:eastAsia="Times New Roman" w:hAnsi="Times New Roman"/>
          <w:sz w:val="13"/>
          <w:szCs w:val="13"/>
          <w:b w:val="1"/>
          <w:bCs w:val="1"/>
          <w:color w:val="auto"/>
        </w:rPr>
        <w:t>Controls and Procedures.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Management’s Evaluation of our Disclosure Controls and Procedures</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maintain disclosure controls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our required disclosures.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As of December 31, 2025,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December 31, 2025, our disclosure controls and procedures were effective at the reasonable assurance level.</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Management’s Annual Report on Internal Control over Financial Reporting</w:t>
      </w:r>
    </w:p>
    <w:p>
      <w:pPr>
        <w:spacing w:after="0" w:line="9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controls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the assets of Aquestive Therapeutics, Inc.;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our directors; and (iii) provide reasonable assurance regarding the prevention or timely detection of unauthorized acquisition, use or disposition of our assets that could have a material effect on the financial statements.</w:t>
      </w:r>
    </w:p>
    <w:p>
      <w:pPr>
        <w:spacing w:after="0" w:line="6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Because of inherent limitations, internal control over financial reporting may not prevent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3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 xml:space="preserve">Our management assessed the effectiveness of our internal control over financial reporting as of December 31, 2025. In making this assessment, management used the criteria set forth in the </w:t>
      </w:r>
      <w:r>
        <w:rPr>
          <w:rFonts w:ascii="Times New Roman" w:cs="Times New Roman" w:eastAsia="Times New Roman" w:hAnsi="Times New Roman"/>
          <w:sz w:val="14"/>
          <w:szCs w:val="14"/>
          <w:i w:val="1"/>
          <w:iCs w:val="1"/>
          <w:color w:val="auto"/>
        </w:rPr>
        <w:t>Internal Control-Integrated Framework (2013</w:t>
      </w:r>
      <w:r>
        <w:rPr>
          <w:rFonts w:ascii="Times New Roman" w:cs="Times New Roman" w:eastAsia="Times New Roman" w:hAnsi="Times New Roman"/>
          <w:sz w:val="14"/>
          <w:szCs w:val="14"/>
          <w:color w:val="auto"/>
        </w:rPr>
        <w:t>) issued by the Committee of Sponsoring Organization of the Treadway Commission (“COSO”). Based upon its assessment and those criteria,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management has concluded that our internal control over financial reporting was effective as of December 31, 2025.</w:t>
      </w:r>
    </w:p>
    <w:p>
      <w:pPr>
        <w:spacing w:after="0" w:line="5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This annual report does not include an attestation report of our registered independent public accounting firm regarding internal control over financial reporting. Management’s report was not subject to attestation by our registered independent public accounting firm pursuant to rules of the Securities and Exchange Commission that permit us to provide only management’s report in this annual report.</w:t>
      </w:r>
    </w:p>
    <w:p>
      <w:pPr>
        <w:spacing w:after="0" w:line="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9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(as defined in Rules 13a-15(f) and 15d-15(f) under the Exchange Act), identified in connection with the evaluation of such internal control that occurred during our last fiscal quarter, that have materially affected, or is reasonably likely to materially affect, our internal control over financial reporting.</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79" w:name="page80"/>
    <w:bookmarkEnd w:id="79"/>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9B.</w:t>
        <w:tab/>
        <w:t>Other Information.</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Chief Operating Officer Cassie Jung adopted a written sales plan intended to satisfy the affirmative defense conditions of Rule 10b5-1(c) of the Exchange Act (the "Jung Plan") on November 26, 2025. The Jung Plan will commence on March 9, 2026 and ends on December 31, 2026. The maximum number of shares to be sold under the Jung Plan is 248,587 shares and no shares have been sold as of the date of this Report; the actual number of shares sold will be dependent on the satisfaction of certain conditions set forth in the Jung Plan.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3" w:right="319" w:bottom="1440" w:gutter="0" w:footer="0" w:header="0"/>
        </w:sectPr>
      </w:pPr>
    </w:p>
    <w:bookmarkStart w:id="80" w:name="page81"/>
    <w:bookmarkEnd w:id="80"/>
    <w:p>
      <w:pPr>
        <w:ind w:left="5360"/>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20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10.</w:t>
        <w:tab/>
        <w:t>Directors, Executive Officers, and Corporate Governance</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information required by this item will be included in our Proxy Statement to be filed with the SEC and is incorporated herein by reference.</w:t>
      </w:r>
    </w:p>
    <w:p>
      <w:pPr>
        <w:spacing w:after="0" w:line="9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11.</w:t>
      </w:r>
      <w:r>
        <w:rPr>
          <w:sz w:val="20"/>
          <w:szCs w:val="20"/>
          <w:color w:val="auto"/>
        </w:rPr>
        <w:tab/>
      </w:r>
      <w:r>
        <w:rPr>
          <w:rFonts w:ascii="Times New Roman" w:cs="Times New Roman" w:eastAsia="Times New Roman" w:hAnsi="Times New Roman"/>
          <w:sz w:val="13"/>
          <w:szCs w:val="13"/>
          <w:b w:val="1"/>
          <w:bCs w:val="1"/>
          <w:color w:val="auto"/>
        </w:rPr>
        <w:t>Executive Compensation</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information required by this item will be included in our Proxy Statement to be filed with the SEC and is incorporated herein by reference.</w:t>
      </w:r>
    </w:p>
    <w:p>
      <w:pPr>
        <w:spacing w:after="0" w:line="9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12.</w:t>
        <w:tab/>
        <w:t>Security Ownership of Certain Beneficial Owners and Management and Related Stockholder Matters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information required by this item will be included in our Proxy Statement to be filed with the SEC and is incorporated herein by reference.</w:t>
      </w:r>
    </w:p>
    <w:p>
      <w:pPr>
        <w:spacing w:after="0" w:line="9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13.</w:t>
        <w:tab/>
        <w:t>Certain Relationships and Related Party Transactions and Director Independence</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information required by this item will be included in our Proxy Statement to be filed with the SEC and is incorporated herein by reference.</w:t>
      </w:r>
    </w:p>
    <w:p>
      <w:pPr>
        <w:spacing w:after="0" w:line="9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14.</w:t>
        <w:tab/>
        <w:t>Principal Accountant Fees and Services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information required by this item will be included in our Proxy Statement to be filed with the SEC and is incorporated herein by reference.</w:t>
      </w:r>
    </w:p>
    <w:p>
      <w:pPr>
        <w:spacing w:after="0" w:line="200" w:lineRule="exact"/>
        <w:rPr>
          <w:sz w:val="20"/>
          <w:szCs w:val="20"/>
          <w:color w:val="auto"/>
        </w:rPr>
      </w:pPr>
    </w:p>
    <w:p>
      <w:pPr>
        <w:spacing w:after="0" w:line="2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727" w:right="1440"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3"/>
          <w:szCs w:val="13"/>
          <w:b w:val="1"/>
          <w:bCs w:val="1"/>
          <w:color w:val="auto"/>
        </w:rPr>
        <w:t>PART IV</w:t>
      </w:r>
    </w:p>
    <w:p>
      <w:pPr>
        <w:spacing w:after="0" w:line="1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15.</w:t>
        <w:tab/>
        <w:t>Exhibits, Financial Statement Schedules.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(a)(1) Financial Statements.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response to this portion of Item 15 is set forth under Item 8 hereof.</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(a)(2) Financial Statement Schedules.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All financial statement schedules have been omitted because they are not applicable, not required or the required information is given in the Financial Statements or Notes thereto.</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(a)(3) Exhibits.</w:t>
      </w:r>
    </w:p>
    <w:p>
      <w:pPr>
        <w:spacing w:after="0" w:line="94"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exhibits required by Item 601 of Regulation S-K and Item 15(b) of this Annual Report on Form 10-K are listed in the Exhibit Index immediately preceding the signature page of this Annual Report on Form 10-K. The exhibits listed in the Exhibit Index are incorporated by reference herein.</w:t>
      </w:r>
    </w:p>
    <w:p>
      <w:pPr>
        <w:spacing w:after="0" w:line="3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16.</w:t>
        <w:tab/>
        <w:t>Form 10-K Summary</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 applicable.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 Index</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exhibits below are filed as part of this Form 10-K other than Exhibit 32.1 and Exhibit 32.2, which shall be deemed furnished.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5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49"/>
        </w:trPr>
        <w:tc>
          <w:tcPr>
            <w:tcW w:w="200" w:type="dxa"/>
            <w:vAlign w:val="bottom"/>
            <w:tcBorders>
              <w:top w:val="single" w:sz="8" w:color="auto"/>
            </w:tcBorders>
            <w:gridSpan w:val="2"/>
          </w:tcPr>
          <w:p>
            <w:pPr>
              <w:ind w:left="20"/>
              <w:spacing w:after="0" w:line="149" w:lineRule="exact"/>
              <w:rPr>
                <w:rFonts w:ascii="Times New Roman" w:cs="Times New Roman" w:eastAsia="Times New Roman" w:hAnsi="Times New Roman"/>
                <w:sz w:val="14"/>
                <w:szCs w:val="14"/>
                <w:color w:val="0000FF"/>
                <w:w w:val="91"/>
              </w:rPr>
            </w:pPr>
            <w:hyperlink r:id="rId98">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1</w:t>
              </w:r>
            </w:hyperlink>
          </w:p>
        </w:tc>
        <w:tc>
          <w:tcPr>
            <w:tcW w:w="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700" w:type="dxa"/>
            <w:vAlign w:val="bottom"/>
            <w:tcBorders>
              <w:top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Amended and Restated Certificate of Incorporation of Aquestive Therapeutics, Inc., dated as of July 27, 2018 (filed as Exhibit 3.1 to the Current Report on Form 8-K of</w:t>
            </w:r>
          </w:p>
        </w:tc>
      </w:tr>
      <w:tr>
        <w:trPr>
          <w:trHeight w:val="156"/>
        </w:trPr>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7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the Company, as filed on July 27, 2018, and incorporated by reference herein).</w:t>
            </w:r>
          </w:p>
        </w:tc>
      </w:tr>
      <w:tr>
        <w:trPr>
          <w:trHeight w:val="153"/>
        </w:trPr>
        <w:tc>
          <w:tcPr>
            <w:tcW w:w="200" w:type="dxa"/>
            <w:vAlign w:val="bottom"/>
            <w:gridSpan w:val="2"/>
          </w:tcPr>
          <w:p>
            <w:pPr>
              <w:ind w:left="20"/>
              <w:spacing w:after="0" w:line="153" w:lineRule="exact"/>
              <w:rPr>
                <w:rFonts w:ascii="Times New Roman" w:cs="Times New Roman" w:eastAsia="Times New Roman" w:hAnsi="Times New Roman"/>
                <w:sz w:val="14"/>
                <w:szCs w:val="14"/>
                <w:color w:val="0000FF"/>
                <w:w w:val="91"/>
              </w:rPr>
            </w:pPr>
            <w:hyperlink r:id="rId99">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2</w:t>
              </w:r>
            </w:hyperlink>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70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Amended and Restated Bylaws of Aquestive Therapeutics, Inc. (filed as Exhibit 3.1 to the Current Report on Form 8-K of the Company, as filed on October 16, 2024, and</w:t>
            </w:r>
          </w:p>
        </w:tc>
      </w:tr>
      <w:tr>
        <w:trPr>
          <w:trHeight w:val="156"/>
        </w:trPr>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7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incorporated by reference herein).</w:t>
            </w:r>
          </w:p>
        </w:tc>
      </w:tr>
      <w:tr>
        <w:trPr>
          <w:trHeight w:val="153"/>
        </w:trPr>
        <w:tc>
          <w:tcPr>
            <w:tcW w:w="200" w:type="dxa"/>
            <w:vAlign w:val="bottom"/>
            <w:gridSpan w:val="2"/>
          </w:tcPr>
          <w:p>
            <w:pPr>
              <w:ind w:left="20"/>
              <w:spacing w:after="0" w:line="153" w:lineRule="exact"/>
              <w:rPr>
                <w:rFonts w:ascii="Times New Roman" w:cs="Times New Roman" w:eastAsia="Times New Roman" w:hAnsi="Times New Roman"/>
                <w:sz w:val="14"/>
                <w:szCs w:val="14"/>
                <w:color w:val="0000FF"/>
                <w:w w:val="91"/>
              </w:rPr>
            </w:pPr>
            <w:hyperlink r:id="rId100">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1</w:t>
              </w:r>
            </w:hyperlink>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70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Form of Common Stock Certificate of Aquestive Therapeutics, Inc. (filed as Exhibit 4.1 to the Registration Statement on Form S-1 of the Company (File No. 333-</w:t>
            </w:r>
          </w:p>
        </w:tc>
      </w:tr>
      <w:tr>
        <w:trPr>
          <w:trHeight w:val="156"/>
        </w:trPr>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7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225924), as filed on June 27, 2018, and incorporated by reference herein).</w:t>
            </w:r>
          </w:p>
        </w:tc>
      </w:tr>
      <w:tr>
        <w:trPr>
          <w:trHeight w:val="153"/>
        </w:trPr>
        <w:tc>
          <w:tcPr>
            <w:tcW w:w="200" w:type="dxa"/>
            <w:vAlign w:val="bottom"/>
            <w:gridSpan w:val="2"/>
          </w:tcPr>
          <w:p>
            <w:pPr>
              <w:ind w:left="20"/>
              <w:spacing w:after="0" w:line="153" w:lineRule="exact"/>
              <w:rPr>
                <w:rFonts w:ascii="Times New Roman" w:cs="Times New Roman" w:eastAsia="Times New Roman" w:hAnsi="Times New Roman"/>
                <w:sz w:val="14"/>
                <w:szCs w:val="14"/>
                <w:color w:val="0000FF"/>
                <w:w w:val="91"/>
              </w:rPr>
            </w:pPr>
            <w:hyperlink r:id="rId101">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7</w:t>
              </w:r>
            </w:hyperlink>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70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Form of 2019 Warrant (filed as Exhibit 4.2 to the Current Report on Form 8-K of the Company, filed on July 16, 2019, and incorporated by reference herein).</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r>
      <w:tr>
        <w:trPr>
          <w:trHeight w:val="160"/>
        </w:trPr>
        <w:tc>
          <w:tcPr>
            <w:tcW w:w="200" w:type="dxa"/>
            <w:vAlign w:val="bottom"/>
            <w:gridSpan w:val="2"/>
          </w:tcPr>
          <w:p>
            <w:pPr>
              <w:ind w:left="20"/>
              <w:spacing w:after="0"/>
              <w:rPr>
                <w:rFonts w:ascii="Times New Roman" w:cs="Times New Roman" w:eastAsia="Times New Roman" w:hAnsi="Times New Roman"/>
                <w:sz w:val="14"/>
                <w:szCs w:val="14"/>
                <w:color w:val="0000FF"/>
                <w:w w:val="91"/>
              </w:rPr>
            </w:pPr>
            <w:hyperlink r:id="rId102">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8</w:t>
              </w:r>
            </w:hyperlink>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Form of 2020 Warrant (filed as Exhibit 4.6 to the Annual Report of Form 10-K of the Company, as filed on March 9, 2021, and incorporated by reference herein).</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r>
      <w:tr>
        <w:trPr>
          <w:trHeight w:val="160"/>
        </w:trPr>
        <w:tc>
          <w:tcPr>
            <w:tcW w:w="200" w:type="dxa"/>
            <w:vAlign w:val="bottom"/>
            <w:gridSpan w:val="2"/>
          </w:tcPr>
          <w:p>
            <w:pPr>
              <w:ind w:left="20"/>
              <w:spacing w:after="0"/>
              <w:rPr>
                <w:rFonts w:ascii="Times New Roman" w:cs="Times New Roman" w:eastAsia="Times New Roman" w:hAnsi="Times New Roman"/>
                <w:sz w:val="14"/>
                <w:szCs w:val="14"/>
                <w:color w:val="0000FF"/>
                <w:w w:val="91"/>
              </w:rPr>
            </w:pPr>
            <w:hyperlink r:id="rId103">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9</w:t>
              </w:r>
            </w:hyperlink>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Form of 2022 Pre-Funded Warrant (filed as Exhibit 4.1 to the Current Report on Form 8-K of the Company, as filed on June 8, 2022, and incorporated by reference</w:t>
            </w:r>
          </w:p>
        </w:tc>
      </w:tr>
      <w:tr>
        <w:trPr>
          <w:trHeight w:val="156"/>
        </w:trPr>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7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herein).</w:t>
            </w:r>
          </w:p>
        </w:tc>
      </w:tr>
      <w:tr>
        <w:trPr>
          <w:trHeight w:val="153"/>
        </w:trPr>
        <w:tc>
          <w:tcPr>
            <w:tcW w:w="1300" w:type="dxa"/>
            <w:vAlign w:val="bottom"/>
            <w:gridSpan w:val="4"/>
          </w:tcPr>
          <w:p>
            <w:pPr>
              <w:ind w:left="20"/>
              <w:spacing w:after="0" w:line="153" w:lineRule="exact"/>
              <w:rPr>
                <w:rFonts w:ascii="Times New Roman" w:cs="Times New Roman" w:eastAsia="Times New Roman" w:hAnsi="Times New Roman"/>
                <w:sz w:val="14"/>
                <w:szCs w:val="14"/>
                <w:color w:val="0000FF"/>
              </w:rPr>
            </w:pPr>
            <w:hyperlink r:id="rId104">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10</w:t>
              </w:r>
            </w:hyperlink>
          </w:p>
        </w:tc>
        <w:tc>
          <w:tcPr>
            <w:tcW w:w="280" w:type="dxa"/>
            <w:vAlign w:val="bottom"/>
          </w:tcPr>
          <w:p>
            <w:pPr>
              <w:spacing w:after="0"/>
              <w:rPr>
                <w:sz w:val="13"/>
                <w:szCs w:val="13"/>
                <w:color w:val="auto"/>
              </w:rPr>
            </w:pPr>
          </w:p>
        </w:tc>
        <w:tc>
          <w:tcPr>
            <w:tcW w:w="970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Form of 2022 Common Stock Warrant (filed as Exhibit 4.2 to the Current Report on Form 8-K of the Company, as filed on June 8, 2022, and incorporated by reference</w:t>
            </w:r>
          </w:p>
        </w:tc>
      </w:tr>
      <w:tr>
        <w:trPr>
          <w:trHeight w:val="156"/>
        </w:trPr>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7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herein).</w:t>
            </w:r>
          </w:p>
        </w:tc>
      </w:tr>
      <w:tr>
        <w:trPr>
          <w:trHeight w:val="153"/>
        </w:trPr>
        <w:tc>
          <w:tcPr>
            <w:tcW w:w="260" w:type="dxa"/>
            <w:vAlign w:val="bottom"/>
            <w:gridSpan w:val="3"/>
          </w:tcPr>
          <w:p>
            <w:pPr>
              <w:ind w:left="20"/>
              <w:spacing w:after="0" w:line="153" w:lineRule="exact"/>
              <w:rPr>
                <w:rFonts w:ascii="Times New Roman" w:cs="Times New Roman" w:eastAsia="Times New Roman" w:hAnsi="Times New Roman"/>
                <w:sz w:val="14"/>
                <w:szCs w:val="14"/>
                <w:color w:val="0000FF"/>
                <w:w w:val="89"/>
              </w:rPr>
            </w:pPr>
            <w:hyperlink r:id="rId105">
              <w:r>
                <w:rPr>
                  <w:rFonts w:ascii="Times New Roman" w:cs="Times New Roman" w:eastAsia="Times New Roman" w:hAnsi="Times New Roman"/>
                  <w:sz w:val="14"/>
                  <w:szCs w:val="14"/>
                  <w:color w:val="0000FF"/>
                  <w:w w:val="89"/>
                </w:rPr>
                <w:t>4.</w:t>
              </w:r>
              <w:r>
                <w:rPr>
                  <w:rFonts w:ascii="Times New Roman" w:cs="Times New Roman" w:eastAsia="Times New Roman" w:hAnsi="Times New Roman"/>
                  <w:sz w:val="14"/>
                  <w:szCs w:val="14"/>
                  <w:u w:val="single" w:color="auto"/>
                  <w:color w:val="0000FF"/>
                  <w:w w:val="89"/>
                </w:rPr>
                <w:t>11</w:t>
              </w:r>
            </w:hyperlink>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70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Registration Rights Agreement, dated as of June 24, 2018, by and between Aquestive Partners, LLC and certain of the holders of its membership interests (filed as Exhibit</w:t>
            </w:r>
          </w:p>
        </w:tc>
      </w:tr>
      <w:tr>
        <w:trPr>
          <w:trHeight w:val="156"/>
        </w:trPr>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7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4.3 to the Registration Statement on Form S-1 of the Company (File No. 333-225924), as filed on June 27, 2018, and incorporated by reference herein).</w:t>
            </w:r>
          </w:p>
        </w:tc>
      </w:tr>
      <w:tr>
        <w:trPr>
          <w:trHeight w:val="153"/>
        </w:trPr>
        <w:tc>
          <w:tcPr>
            <w:tcW w:w="1300" w:type="dxa"/>
            <w:vAlign w:val="bottom"/>
            <w:gridSpan w:val="4"/>
          </w:tcPr>
          <w:p>
            <w:pPr>
              <w:ind w:left="20"/>
              <w:spacing w:after="0" w:line="153" w:lineRule="exact"/>
              <w:rPr>
                <w:rFonts w:ascii="Times New Roman" w:cs="Times New Roman" w:eastAsia="Times New Roman" w:hAnsi="Times New Roman"/>
                <w:sz w:val="14"/>
                <w:szCs w:val="14"/>
                <w:color w:val="0000FF"/>
              </w:rPr>
            </w:pPr>
            <w:hyperlink r:id="rId106">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12</w:t>
              </w:r>
            </w:hyperlink>
          </w:p>
        </w:tc>
        <w:tc>
          <w:tcPr>
            <w:tcW w:w="280" w:type="dxa"/>
            <w:vAlign w:val="bottom"/>
          </w:tcPr>
          <w:p>
            <w:pPr>
              <w:spacing w:after="0"/>
              <w:rPr>
                <w:sz w:val="13"/>
                <w:szCs w:val="13"/>
                <w:color w:val="auto"/>
              </w:rPr>
            </w:pPr>
          </w:p>
        </w:tc>
        <w:tc>
          <w:tcPr>
            <w:tcW w:w="970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Description of Securities Registered under Section 12 of the Exchange Act (filed as Exhibit 4.7 to the Annual Report on Form 10-K of the Company, as filed on March</w:t>
            </w:r>
          </w:p>
        </w:tc>
      </w:tr>
      <w:tr>
        <w:trPr>
          <w:trHeight w:val="156"/>
        </w:trPr>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7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11, 2020, and incorporated by reference herein).</w:t>
            </w:r>
          </w:p>
        </w:tc>
      </w:tr>
      <w:tr>
        <w:trPr>
          <w:trHeight w:val="153"/>
        </w:trPr>
        <w:tc>
          <w:tcPr>
            <w:tcW w:w="1300" w:type="dxa"/>
            <w:vAlign w:val="bottom"/>
            <w:gridSpan w:val="4"/>
          </w:tcPr>
          <w:p>
            <w:pPr>
              <w:ind w:left="20"/>
              <w:spacing w:after="0" w:line="153" w:lineRule="exact"/>
              <w:rPr>
                <w:rFonts w:ascii="Times New Roman" w:cs="Times New Roman" w:eastAsia="Times New Roman" w:hAnsi="Times New Roman"/>
                <w:sz w:val="14"/>
                <w:szCs w:val="14"/>
                <w:color w:val="0000FF"/>
              </w:rPr>
            </w:pPr>
            <w:hyperlink r:id="rId107">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13</w:t>
              </w:r>
            </w:hyperlink>
          </w:p>
        </w:tc>
        <w:tc>
          <w:tcPr>
            <w:tcW w:w="280" w:type="dxa"/>
            <w:vAlign w:val="bottom"/>
          </w:tcPr>
          <w:p>
            <w:pPr>
              <w:spacing w:after="0"/>
              <w:rPr>
                <w:sz w:val="13"/>
                <w:szCs w:val="13"/>
                <w:color w:val="auto"/>
              </w:rPr>
            </w:pPr>
          </w:p>
        </w:tc>
        <w:tc>
          <w:tcPr>
            <w:tcW w:w="970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Fifth Supplemental Indenture, dated as of May 13, 2022, among Aquestive Therapeutics, Inc., as Issuer, any Guarantor that becomes party thereto and U.S. Bank Trust</w:t>
            </w:r>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70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color w:val="auto"/>
              </w:rPr>
              <w:t>Company, National Association, as Trustee and Collateral Agent (filed as Exhibit 4.1 to the Current Report on Form 8-K of the Company, as filed on May 17, 20222, and</w:t>
            </w: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incorporated by reference herein).</w:t>
            </w:r>
          </w:p>
        </w:tc>
      </w:tr>
      <w:tr>
        <w:trPr>
          <w:trHeight w:val="153"/>
        </w:trPr>
        <w:tc>
          <w:tcPr>
            <w:tcW w:w="1300" w:type="dxa"/>
            <w:vAlign w:val="bottom"/>
            <w:gridSpan w:val="4"/>
          </w:tcPr>
          <w:p>
            <w:pPr>
              <w:ind w:left="20"/>
              <w:spacing w:after="0" w:line="153" w:lineRule="exact"/>
              <w:rPr>
                <w:rFonts w:ascii="Times New Roman" w:cs="Times New Roman" w:eastAsia="Times New Roman" w:hAnsi="Times New Roman"/>
                <w:sz w:val="14"/>
                <w:szCs w:val="14"/>
                <w:color w:val="0000FF"/>
              </w:rPr>
            </w:pPr>
            <w:hyperlink r:id="rId108">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14</w:t>
              </w:r>
            </w:hyperlink>
          </w:p>
        </w:tc>
        <w:tc>
          <w:tcPr>
            <w:tcW w:w="280" w:type="dxa"/>
            <w:vAlign w:val="bottom"/>
          </w:tcPr>
          <w:p>
            <w:pPr>
              <w:spacing w:after="0"/>
              <w:rPr>
                <w:sz w:val="13"/>
                <w:szCs w:val="13"/>
                <w:color w:val="auto"/>
              </w:rPr>
            </w:pPr>
          </w:p>
        </w:tc>
        <w:tc>
          <w:tcPr>
            <w:tcW w:w="970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Indenture Dated as of November 1, 2023, among Aquestive Therapeutics, Inc., as Issuer, any Guarantor that becomes party thereto, and U.S. Bank Trust Company,</w:t>
            </w:r>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70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color w:val="auto"/>
              </w:rPr>
              <w:t>National Association, as Trustee and Collateral Agent (filed as Exhibit 4.1 to the Current Report on Form 8-K of the Company, as filed on November 2, 2023, and</w:t>
            </w: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incorporated by reference herein)</w:t>
            </w:r>
          </w:p>
        </w:tc>
      </w:tr>
      <w:tr>
        <w:trPr>
          <w:trHeight w:val="153"/>
        </w:trPr>
        <w:tc>
          <w:tcPr>
            <w:tcW w:w="1300" w:type="dxa"/>
            <w:vAlign w:val="bottom"/>
            <w:gridSpan w:val="4"/>
          </w:tcPr>
          <w:p>
            <w:pPr>
              <w:ind w:left="20"/>
              <w:spacing w:after="0" w:line="153" w:lineRule="exact"/>
              <w:rPr>
                <w:rFonts w:ascii="Times New Roman" w:cs="Times New Roman" w:eastAsia="Times New Roman" w:hAnsi="Times New Roman"/>
                <w:sz w:val="14"/>
                <w:szCs w:val="14"/>
                <w:color w:val="0000FF"/>
              </w:rPr>
            </w:pPr>
            <w:hyperlink r:id="rId109">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hyperlink>
          </w:p>
        </w:tc>
        <w:tc>
          <w:tcPr>
            <w:tcW w:w="280" w:type="dxa"/>
            <w:vAlign w:val="bottom"/>
          </w:tcPr>
          <w:p>
            <w:pPr>
              <w:spacing w:after="0"/>
              <w:rPr>
                <w:sz w:val="13"/>
                <w:szCs w:val="13"/>
                <w:color w:val="auto"/>
              </w:rPr>
            </w:pPr>
          </w:p>
        </w:tc>
        <w:tc>
          <w:tcPr>
            <w:tcW w:w="970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Form of Indemnification Agreement, by and between Aquestive Therapeutics, Inc and its directors and officers (filed as Exhibit 10.1 to the Registration Statement on</w:t>
            </w:r>
          </w:p>
        </w:tc>
      </w:tr>
      <w:tr>
        <w:trPr>
          <w:trHeight w:val="156"/>
        </w:trPr>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7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Form S-1 of the Company (File No. 333-225924), as filed on June 27, 2018, and incorporated by reference herein).</w:t>
            </w:r>
          </w:p>
        </w:tc>
      </w:tr>
      <w:tr>
        <w:trPr>
          <w:trHeight w:val="153"/>
        </w:trPr>
        <w:tc>
          <w:tcPr>
            <w:tcW w:w="1300" w:type="dxa"/>
            <w:vAlign w:val="bottom"/>
            <w:gridSpan w:val="4"/>
          </w:tcPr>
          <w:p>
            <w:pPr>
              <w:ind w:left="20"/>
              <w:spacing w:after="0" w:line="153" w:lineRule="exact"/>
              <w:rPr>
                <w:rFonts w:ascii="Times New Roman" w:cs="Times New Roman" w:eastAsia="Times New Roman" w:hAnsi="Times New Roman"/>
                <w:sz w:val="14"/>
                <w:szCs w:val="14"/>
                <w:color w:val="0000FF"/>
              </w:rPr>
            </w:pPr>
            <w:hyperlink r:id="rId110">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5</w:t>
              </w:r>
            </w:hyperlink>
            <w:r>
              <w:rPr>
                <w:rFonts w:ascii="Times New Roman" w:cs="Times New Roman" w:eastAsia="Times New Roman" w:hAnsi="Times New Roman"/>
                <w:sz w:val="14"/>
                <w:szCs w:val="14"/>
                <w:color w:val="000000"/>
              </w:rPr>
              <w:t>+</w:t>
            </w:r>
          </w:p>
        </w:tc>
        <w:tc>
          <w:tcPr>
            <w:tcW w:w="280" w:type="dxa"/>
            <w:vAlign w:val="bottom"/>
          </w:tcPr>
          <w:p>
            <w:pPr>
              <w:spacing w:after="0"/>
              <w:rPr>
                <w:sz w:val="13"/>
                <w:szCs w:val="13"/>
                <w:color w:val="auto"/>
              </w:rPr>
            </w:pPr>
          </w:p>
        </w:tc>
        <w:tc>
          <w:tcPr>
            <w:tcW w:w="970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Executive Employment Agreement, dated as of July 15, 2022, by and between Aquestive Therapeutics, Inc. and Daniel Barber (filed as Exhibit 10.1 to the Current Report</w:t>
            </w:r>
          </w:p>
        </w:tc>
      </w:tr>
      <w:tr>
        <w:trPr>
          <w:trHeight w:val="164"/>
        </w:trPr>
        <w:tc>
          <w:tcPr>
            <w:tcW w:w="2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on Form 10-Q of the Company, as filed on August 2, 2022, and incorporated by reference herein).</w:t>
            </w:r>
          </w:p>
        </w:tc>
      </w:tr>
      <w:tr>
        <w:trPr>
          <w:trHeight w:val="766"/>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00" w:type="dxa"/>
            <w:vAlign w:val="bottom"/>
          </w:tcPr>
          <w:p>
            <w:pPr>
              <w:ind w:left="4000"/>
              <w:spacing w:after="0"/>
              <w:rPr>
                <w:sz w:val="20"/>
                <w:szCs w:val="20"/>
                <w:color w:val="auto"/>
              </w:rPr>
            </w:pPr>
            <w:r>
              <w:rPr>
                <w:rFonts w:ascii="Times New Roman" w:cs="Times New Roman" w:eastAsia="Times New Roman" w:hAnsi="Times New Roman"/>
                <w:sz w:val="13"/>
                <w:szCs w:val="13"/>
                <w:color w:val="auto"/>
              </w:rPr>
              <w:t>76</w:t>
            </w:r>
          </w:p>
        </w:tc>
      </w:tr>
      <w:tr>
        <w:trPr>
          <w:trHeight w:val="80"/>
        </w:trPr>
        <w:tc>
          <w:tcPr>
            <w:tcW w:w="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97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61"/>
        </w:trPr>
        <w:tc>
          <w:tcPr>
            <w:tcW w:w="400" w:type="dxa"/>
            <w:vAlign w:val="bottom"/>
            <w:gridSpan w:val="3"/>
          </w:tcPr>
          <w:p>
            <w:pPr>
              <w:ind w:left="20"/>
              <w:spacing w:after="0"/>
              <w:rPr>
                <w:rFonts w:ascii="Times New Roman" w:cs="Times New Roman" w:eastAsia="Times New Roman" w:hAnsi="Times New Roman"/>
                <w:sz w:val="14"/>
                <w:szCs w:val="14"/>
                <w:color w:val="0000FF"/>
              </w:rPr>
            </w:pPr>
            <w:hyperlink r:id="rId113">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6+</w:t>
              </w:r>
            </w:hyperlink>
          </w:p>
        </w:tc>
        <w:tc>
          <w:tcPr>
            <w:tcW w:w="600" w:type="dxa"/>
            <w:vAlign w:val="bottom"/>
          </w:tcPr>
          <w:p>
            <w:pPr>
              <w:spacing w:after="0"/>
              <w:rPr>
                <w:sz w:val="13"/>
                <w:szCs w:val="13"/>
                <w:color w:val="auto"/>
              </w:rPr>
            </w:pPr>
          </w:p>
        </w:tc>
        <w:tc>
          <w:tcPr>
            <w:tcW w:w="102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Executive Employment Agreement, dated as of July 9, 2018, by and between Aquestive Therapeutics, Inc. and A. Mark Schobel (filed as Exhibit 10.8 to the Pre-Effective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0" w:type="dxa"/>
            <w:vAlign w:val="bottom"/>
          </w:tcPr>
          <w:p>
            <w:pPr>
              <w:spacing w:after="0"/>
              <w:rPr>
                <w:sz w:val="13"/>
                <w:szCs w:val="13"/>
                <w:color w:val="auto"/>
              </w:rPr>
            </w:pPr>
          </w:p>
        </w:tc>
        <w:tc>
          <w:tcPr>
            <w:tcW w:w="10280" w:type="dxa"/>
            <w:vAlign w:val="bottom"/>
          </w:tcPr>
          <w:p>
            <w:pPr>
              <w:ind w:left="600"/>
              <w:spacing w:after="0" w:line="156" w:lineRule="exact"/>
              <w:rPr>
                <w:sz w:val="20"/>
                <w:szCs w:val="20"/>
                <w:color w:val="auto"/>
              </w:rPr>
            </w:pPr>
            <w:r>
              <w:rPr>
                <w:rFonts w:ascii="Times New Roman" w:cs="Times New Roman" w:eastAsia="Times New Roman" w:hAnsi="Times New Roman"/>
                <w:sz w:val="14"/>
                <w:szCs w:val="14"/>
                <w:color w:val="auto"/>
              </w:rPr>
              <w:t>Amendment No. 1, as filed on July 16, 2018, to the Registration Statement on Form S-1 of the Company (File No. 333-225924), and incorporated by reference herein).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80" w:type="dxa"/>
            <w:vAlign w:val="bottom"/>
            <w:gridSpan w:val="3"/>
          </w:tcPr>
          <w:p>
            <w:pPr>
              <w:spacing w:after="0" w:line="153" w:lineRule="exact"/>
              <w:rPr>
                <w:rFonts w:ascii="Times New Roman" w:cs="Times New Roman" w:eastAsia="Times New Roman" w:hAnsi="Times New Roman"/>
                <w:sz w:val="14"/>
                <w:szCs w:val="14"/>
                <w:color w:val="0000FF"/>
              </w:rPr>
            </w:pPr>
            <w:hyperlink r:id="rId114">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7†</w:t>
              </w:r>
            </w:hyperlink>
          </w:p>
        </w:tc>
        <w:tc>
          <w:tcPr>
            <w:tcW w:w="10280" w:type="dxa"/>
            <w:vAlign w:val="bottom"/>
          </w:tcPr>
          <w:p>
            <w:pPr>
              <w:ind w:left="600"/>
              <w:spacing w:after="0" w:line="153" w:lineRule="exact"/>
              <w:rPr>
                <w:sz w:val="20"/>
                <w:szCs w:val="20"/>
                <w:color w:val="auto"/>
              </w:rPr>
            </w:pPr>
            <w:r>
              <w:rPr>
                <w:rFonts w:ascii="Times New Roman" w:cs="Times New Roman" w:eastAsia="Times New Roman" w:hAnsi="Times New Roman"/>
                <w:sz w:val="14"/>
                <w:szCs w:val="14"/>
                <w:color w:val="auto"/>
              </w:rPr>
              <w:t>Commercial Exploitation Agreement, by and between MonoSol Rx, LLC (now Aquestive Therapeutics, Inc.) and Reckitt Benckiser Pharmaceuticals Inc., dated as of</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600" w:type="dxa"/>
            <w:vAlign w:val="bottom"/>
          </w:tcPr>
          <w:p>
            <w:pPr>
              <w:spacing w:after="0"/>
              <w:rPr>
                <w:sz w:val="9"/>
                <w:szCs w:val="9"/>
                <w:color w:val="auto"/>
              </w:rPr>
            </w:pPr>
          </w:p>
        </w:tc>
        <w:tc>
          <w:tcPr>
            <w:tcW w:w="10280" w:type="dxa"/>
            <w:vAlign w:val="bottom"/>
          </w:tcPr>
          <w:p>
            <w:pPr>
              <w:ind w:left="600"/>
              <w:spacing w:after="0" w:line="107" w:lineRule="exact"/>
              <w:rPr>
                <w:sz w:val="20"/>
                <w:szCs w:val="20"/>
                <w:color w:val="auto"/>
              </w:rPr>
            </w:pPr>
            <w:r>
              <w:rPr>
                <w:rFonts w:ascii="Times New Roman" w:cs="Times New Roman" w:eastAsia="Times New Roman" w:hAnsi="Times New Roman"/>
                <w:sz w:val="12"/>
                <w:szCs w:val="12"/>
                <w:color w:val="auto"/>
              </w:rPr>
              <w:t>August 15, 2008 (as amended on August 19, 2009, November 13, 2009, March 30, 2010, October 13, 2010, December 15, 2010, December 9, 2011, December 1, 2012,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80" w:type="dxa"/>
            <w:vAlign w:val="bottom"/>
          </w:tcPr>
          <w:p>
            <w:pPr>
              <w:ind w:left="600"/>
              <w:spacing w:after="0" w:line="145" w:lineRule="exact"/>
              <w:rPr>
                <w:sz w:val="20"/>
                <w:szCs w:val="20"/>
                <w:color w:val="auto"/>
              </w:rPr>
            </w:pPr>
            <w:r>
              <w:rPr>
                <w:rFonts w:ascii="Times New Roman" w:cs="Times New Roman" w:eastAsia="Times New Roman" w:hAnsi="Times New Roman"/>
                <w:sz w:val="14"/>
                <w:szCs w:val="14"/>
                <w:color w:val="auto"/>
              </w:rPr>
              <w:t>October 14, 2013 (by Addendum A), July 30, 2014 (by Addendum B), and January 12, 2017) (filed as Exhibit 10.9 to the Registration Statement on Form S-1 of the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Company (File No. 333-225924), as filed on June 27, 2018, and incorporated by reference herein).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80" w:type="dxa"/>
            <w:vAlign w:val="bottom"/>
            <w:gridSpan w:val="3"/>
          </w:tcPr>
          <w:p>
            <w:pPr>
              <w:spacing w:after="0" w:line="153" w:lineRule="exact"/>
              <w:rPr>
                <w:rFonts w:ascii="Times New Roman" w:cs="Times New Roman" w:eastAsia="Times New Roman" w:hAnsi="Times New Roman"/>
                <w:sz w:val="14"/>
                <w:szCs w:val="14"/>
                <w:color w:val="0000FF"/>
              </w:rPr>
            </w:pPr>
            <w:hyperlink r:id="rId115">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8†</w:t>
              </w:r>
            </w:hyperlink>
          </w:p>
        </w:tc>
        <w:tc>
          <w:tcPr>
            <w:tcW w:w="10280" w:type="dxa"/>
            <w:vAlign w:val="bottom"/>
          </w:tcPr>
          <w:p>
            <w:pPr>
              <w:ind w:left="600"/>
              <w:spacing w:after="0" w:line="153" w:lineRule="exact"/>
              <w:rPr>
                <w:sz w:val="20"/>
                <w:szCs w:val="20"/>
                <w:color w:val="auto"/>
              </w:rPr>
            </w:pPr>
            <w:r>
              <w:rPr>
                <w:rFonts w:ascii="Times New Roman" w:cs="Times New Roman" w:eastAsia="Times New Roman" w:hAnsi="Times New Roman"/>
                <w:sz w:val="14"/>
                <w:szCs w:val="14"/>
                <w:color w:val="auto"/>
              </w:rPr>
              <w:t>Agreement, by and between MonoSol Rx, LLC (now Aquestive Therapeutics, Inc.) and Indivior UK Limited, dated as of September 24, 2017 (filed as Exhibit 10.10 to</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0" w:type="dxa"/>
            <w:vAlign w:val="bottom"/>
          </w:tcPr>
          <w:p>
            <w:pPr>
              <w:spacing w:after="0"/>
              <w:rPr>
                <w:sz w:val="13"/>
                <w:szCs w:val="13"/>
                <w:color w:val="auto"/>
              </w:rPr>
            </w:pPr>
          </w:p>
        </w:tc>
        <w:tc>
          <w:tcPr>
            <w:tcW w:w="10280" w:type="dxa"/>
            <w:vAlign w:val="bottom"/>
          </w:tcPr>
          <w:p>
            <w:pPr>
              <w:ind w:left="600"/>
              <w:spacing w:after="0" w:line="156" w:lineRule="exact"/>
              <w:rPr>
                <w:sz w:val="20"/>
                <w:szCs w:val="20"/>
                <w:color w:val="auto"/>
              </w:rPr>
            </w:pPr>
            <w:r>
              <w:rPr>
                <w:rFonts w:ascii="Times New Roman" w:cs="Times New Roman" w:eastAsia="Times New Roman" w:hAnsi="Times New Roman"/>
                <w:sz w:val="14"/>
                <w:szCs w:val="14"/>
                <w:color w:val="auto"/>
              </w:rPr>
              <w:t>the Registration Statement on Form S-1 of the Company (File No. 333-225924), as filed on June 27, 2018, and incorporated by reference herein).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80" w:type="dxa"/>
            <w:vAlign w:val="bottom"/>
            <w:gridSpan w:val="3"/>
          </w:tcPr>
          <w:p>
            <w:pPr>
              <w:spacing w:after="0" w:line="153" w:lineRule="exact"/>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9</w:t>
              </w:r>
            </w:hyperlink>
            <w:r>
              <w:rPr>
                <w:rFonts w:ascii="Times New Roman" w:cs="Times New Roman" w:eastAsia="Times New Roman" w:hAnsi="Times New Roman"/>
                <w:sz w:val="14"/>
                <w:szCs w:val="14"/>
                <w:color w:val="000000"/>
              </w:rPr>
              <w:t>†</w:t>
            </w:r>
          </w:p>
        </w:tc>
        <w:tc>
          <w:tcPr>
            <w:tcW w:w="10280" w:type="dxa"/>
            <w:vAlign w:val="bottom"/>
          </w:tcPr>
          <w:p>
            <w:pPr>
              <w:ind w:left="600"/>
              <w:spacing w:after="0" w:line="153" w:lineRule="exact"/>
              <w:rPr>
                <w:sz w:val="20"/>
                <w:szCs w:val="20"/>
                <w:color w:val="auto"/>
              </w:rPr>
            </w:pPr>
            <w:r>
              <w:rPr>
                <w:rFonts w:ascii="Times New Roman" w:cs="Times New Roman" w:eastAsia="Times New Roman" w:hAnsi="Times New Roman"/>
                <w:sz w:val="14"/>
                <w:szCs w:val="14"/>
                <w:color w:val="auto"/>
              </w:rPr>
              <w:t>Amendment No. 11 to Commercial Exploitation Agreement, dated as of August 15, 2008 (filed herewith).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980" w:type="dxa"/>
            <w:vAlign w:val="bottom"/>
            <w:gridSpan w:val="3"/>
          </w:tcPr>
          <w:p>
            <w:pPr>
              <w:spacing w:after="0"/>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10†</w:t>
              </w:r>
            </w:hyperlink>
          </w:p>
        </w:tc>
        <w:tc>
          <w:tcPr>
            <w:tcW w:w="102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Agreement to Terminate CLA, by and between MonoSol Rx, LLC (now Aquestive Therapeutics, Inc.) and KemPharm, Inc., dated as of March 20, 2012 (filed as Exhibit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0" w:type="dxa"/>
            <w:vAlign w:val="bottom"/>
          </w:tcPr>
          <w:p>
            <w:pPr>
              <w:spacing w:after="0"/>
              <w:rPr>
                <w:sz w:val="13"/>
                <w:szCs w:val="13"/>
                <w:color w:val="auto"/>
              </w:rPr>
            </w:pPr>
          </w:p>
        </w:tc>
        <w:tc>
          <w:tcPr>
            <w:tcW w:w="10280" w:type="dxa"/>
            <w:vAlign w:val="bottom"/>
          </w:tcPr>
          <w:p>
            <w:pPr>
              <w:ind w:left="600"/>
              <w:spacing w:after="0" w:line="156" w:lineRule="exact"/>
              <w:rPr>
                <w:sz w:val="20"/>
                <w:szCs w:val="20"/>
                <w:color w:val="auto"/>
              </w:rPr>
            </w:pPr>
            <w:r>
              <w:rPr>
                <w:rFonts w:ascii="Times New Roman" w:cs="Times New Roman" w:eastAsia="Times New Roman" w:hAnsi="Times New Roman"/>
                <w:sz w:val="14"/>
                <w:szCs w:val="14"/>
                <w:color w:val="auto"/>
              </w:rPr>
              <w:t>10.11 to the Registration Statement on Form S-1 of the Company (File No. 333-225924), as filed on June 27, 2018, and incorporated by reference herein).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80" w:type="dxa"/>
            <w:vAlign w:val="bottom"/>
            <w:gridSpan w:val="3"/>
          </w:tcPr>
          <w:p>
            <w:pPr>
              <w:spacing w:after="0" w:line="153" w:lineRule="exact"/>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11†</w:t>
              </w:r>
            </w:hyperlink>
          </w:p>
        </w:tc>
        <w:tc>
          <w:tcPr>
            <w:tcW w:w="10280" w:type="dxa"/>
            <w:vAlign w:val="bottom"/>
          </w:tcPr>
          <w:p>
            <w:pPr>
              <w:ind w:left="600"/>
              <w:spacing w:after="0" w:line="153" w:lineRule="exact"/>
              <w:rPr>
                <w:sz w:val="20"/>
                <w:szCs w:val="20"/>
                <w:color w:val="auto"/>
              </w:rPr>
            </w:pPr>
            <w:r>
              <w:rPr>
                <w:rFonts w:ascii="Times New Roman" w:cs="Times New Roman" w:eastAsia="Times New Roman" w:hAnsi="Times New Roman"/>
                <w:sz w:val="14"/>
                <w:szCs w:val="14"/>
                <w:color w:val="auto"/>
              </w:rPr>
              <w:t>License Agreement, by and between MonoSol Rx, LLC (now Aquestive Therapeutics, Inc.) and Cynapsus Therapeutics Inc., dated as of April 1, 2016 (filed as Exhibit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80" w:type="dxa"/>
            <w:vAlign w:val="bottom"/>
            <w:vMerge w:val="restart"/>
          </w:tcPr>
          <w:p>
            <w:pPr>
              <w:ind w:left="600"/>
              <w:spacing w:after="0"/>
              <w:rPr>
                <w:sz w:val="20"/>
                <w:szCs w:val="20"/>
                <w:color w:val="auto"/>
              </w:rPr>
            </w:pPr>
            <w:r>
              <w:rPr>
                <w:rFonts w:ascii="Times New Roman" w:cs="Times New Roman" w:eastAsia="Times New Roman" w:hAnsi="Times New Roman"/>
                <w:sz w:val="14"/>
                <w:szCs w:val="14"/>
                <w:color w:val="auto"/>
              </w:rPr>
              <w:t>10.12 to the Registration Statement on Form S-1 of the Company (File No. 333-225924), as filed on June 27, 2018, and incorporated by reference herein).</w:t>
            </w: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980" w:type="dxa"/>
            <w:vAlign w:val="bottom"/>
            <w:gridSpan w:val="3"/>
            <w:vMerge w:val="restart"/>
          </w:tcPr>
          <w:p>
            <w:pPr>
              <w:spacing w:after="0"/>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12†</w:t>
              </w:r>
            </w:hyperlink>
          </w:p>
        </w:tc>
        <w:tc>
          <w:tcPr>
            <w:tcW w:w="10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0280" w:type="dxa"/>
            <w:vAlign w:val="bottom"/>
          </w:tcPr>
          <w:p>
            <w:pPr>
              <w:ind w:left="600"/>
              <w:spacing w:after="0" w:line="125" w:lineRule="exact"/>
              <w:rPr>
                <w:sz w:val="20"/>
                <w:szCs w:val="20"/>
                <w:color w:val="auto"/>
              </w:rPr>
            </w:pPr>
            <w:r>
              <w:rPr>
                <w:rFonts w:ascii="Times New Roman" w:cs="Times New Roman" w:eastAsia="Times New Roman" w:hAnsi="Times New Roman"/>
                <w:sz w:val="14"/>
                <w:szCs w:val="14"/>
                <w:color w:val="auto"/>
              </w:rPr>
              <w:t>First Amendment to License Agreement, by and between Aquestive Therapeutics, Inc. and Sunovion Pharmaceuticals, Inc., dated as of March 16, 2020 (filed as Exhibit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600" w:type="dxa"/>
            <w:vAlign w:val="bottom"/>
          </w:tcPr>
          <w:p>
            <w:pPr>
              <w:spacing w:after="0"/>
              <w:rPr>
                <w:sz w:val="15"/>
                <w:szCs w:val="15"/>
                <w:color w:val="auto"/>
              </w:rPr>
            </w:pPr>
          </w:p>
        </w:tc>
        <w:tc>
          <w:tcPr>
            <w:tcW w:w="102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10.14 to the Annual Report of Form 10-K of the Company, as filed on March 9, 2021, and incorporated by reference herein).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80" w:type="dxa"/>
            <w:vAlign w:val="bottom"/>
            <w:gridSpan w:val="3"/>
          </w:tcPr>
          <w:p>
            <w:pPr>
              <w:spacing w:after="0"/>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13†</w:t>
              </w:r>
            </w:hyperlink>
          </w:p>
        </w:tc>
        <w:tc>
          <w:tcPr>
            <w:tcW w:w="102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Second Amendment to License Agreement, by and between Aquestive Therapeutics, Inc. and Sunovion Pharmaceuticals, Inc., dated as of October 23, 2020 (filed as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0" w:type="dxa"/>
            <w:vAlign w:val="bottom"/>
          </w:tcPr>
          <w:p>
            <w:pPr>
              <w:spacing w:after="0"/>
              <w:rPr>
                <w:sz w:val="13"/>
                <w:szCs w:val="13"/>
                <w:color w:val="auto"/>
              </w:rPr>
            </w:pPr>
          </w:p>
        </w:tc>
        <w:tc>
          <w:tcPr>
            <w:tcW w:w="10280" w:type="dxa"/>
            <w:vAlign w:val="bottom"/>
          </w:tcPr>
          <w:p>
            <w:pPr>
              <w:ind w:left="600"/>
              <w:spacing w:after="0" w:line="156" w:lineRule="exact"/>
              <w:rPr>
                <w:sz w:val="20"/>
                <w:szCs w:val="20"/>
                <w:color w:val="auto"/>
              </w:rPr>
            </w:pPr>
            <w:r>
              <w:rPr>
                <w:rFonts w:ascii="Times New Roman" w:cs="Times New Roman" w:eastAsia="Times New Roman" w:hAnsi="Times New Roman"/>
                <w:sz w:val="14"/>
                <w:szCs w:val="14"/>
                <w:color w:val="auto"/>
              </w:rPr>
              <w:t>Exhibit 10.15 to the Annual Report of Form 10-K of the Company, as filed on March 9, 2021, and incorporated by reference herein).</w:t>
            </w:r>
          </w:p>
        </w:tc>
        <w:tc>
          <w:tcPr>
            <w:tcW w:w="0" w:type="dxa"/>
            <w:vAlign w:val="bottom"/>
          </w:tcPr>
          <w:p>
            <w:pPr>
              <w:spacing w:after="0"/>
              <w:rPr>
                <w:sz w:val="1"/>
                <w:szCs w:val="1"/>
                <w:color w:val="auto"/>
              </w:rPr>
            </w:pPr>
          </w:p>
        </w:tc>
      </w:tr>
      <w:tr>
        <w:trPr>
          <w:trHeight w:val="153"/>
        </w:trPr>
        <w:tc>
          <w:tcPr>
            <w:tcW w:w="400" w:type="dxa"/>
            <w:vAlign w:val="bottom"/>
            <w:gridSpan w:val="3"/>
          </w:tcPr>
          <w:p>
            <w:pPr>
              <w:ind w:left="20"/>
              <w:spacing w:after="0" w:line="153" w:lineRule="exact"/>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14</w:t>
              </w:r>
            </w:hyperlink>
          </w:p>
        </w:tc>
        <w:tc>
          <w:tcPr>
            <w:tcW w:w="600" w:type="dxa"/>
            <w:vAlign w:val="bottom"/>
          </w:tcPr>
          <w:p>
            <w:pPr>
              <w:spacing w:after="0"/>
              <w:rPr>
                <w:sz w:val="13"/>
                <w:szCs w:val="13"/>
                <w:color w:val="auto"/>
              </w:rPr>
            </w:pPr>
          </w:p>
        </w:tc>
        <w:tc>
          <w:tcPr>
            <w:tcW w:w="10280" w:type="dxa"/>
            <w:vAlign w:val="bottom"/>
          </w:tcPr>
          <w:p>
            <w:pPr>
              <w:ind w:left="600"/>
              <w:spacing w:after="0" w:line="153" w:lineRule="exact"/>
              <w:rPr>
                <w:sz w:val="20"/>
                <w:szCs w:val="20"/>
                <w:color w:val="auto"/>
              </w:rPr>
            </w:pPr>
            <w:r>
              <w:rPr>
                <w:rFonts w:ascii="Times New Roman" w:cs="Times New Roman" w:eastAsia="Times New Roman" w:hAnsi="Times New Roman"/>
                <w:sz w:val="14"/>
                <w:szCs w:val="14"/>
                <w:color w:val="auto"/>
              </w:rPr>
              <w:t>Industrial Lease Agreement, by and between Ashland Northwest Partners, L.P. and MonoSol Rx, LLC (now Aquestive Therapeutics, Inc.), dated as of October 24, 2006</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600" w:type="dxa"/>
            <w:vAlign w:val="bottom"/>
          </w:tcPr>
          <w:p>
            <w:pPr>
              <w:spacing w:after="0"/>
              <w:rPr>
                <w:sz w:val="9"/>
                <w:szCs w:val="9"/>
                <w:color w:val="auto"/>
              </w:rPr>
            </w:pPr>
          </w:p>
        </w:tc>
        <w:tc>
          <w:tcPr>
            <w:tcW w:w="10280" w:type="dxa"/>
            <w:vAlign w:val="bottom"/>
          </w:tcPr>
          <w:p>
            <w:pPr>
              <w:ind w:left="600"/>
              <w:spacing w:after="0" w:line="107" w:lineRule="exact"/>
              <w:rPr>
                <w:sz w:val="20"/>
                <w:szCs w:val="20"/>
                <w:color w:val="auto"/>
              </w:rPr>
            </w:pPr>
            <w:r>
              <w:rPr>
                <w:rFonts w:ascii="Times New Roman" w:cs="Times New Roman" w:eastAsia="Times New Roman" w:hAnsi="Times New Roman"/>
                <w:sz w:val="12"/>
                <w:szCs w:val="12"/>
                <w:color w:val="auto"/>
              </w:rPr>
              <w:t>(as amended on October 24, 2011 and February 8, 2018) (filed as Exhibit 10.13 to the Registration Statement on Form S-1 of the Company (File No. 333-225924), as filed</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on June 27, 2018, and incorporated by reference herein).</w:t>
            </w:r>
          </w:p>
        </w:tc>
        <w:tc>
          <w:tcPr>
            <w:tcW w:w="0" w:type="dxa"/>
            <w:vAlign w:val="bottom"/>
          </w:tcPr>
          <w:p>
            <w:pPr>
              <w:spacing w:after="0"/>
              <w:rPr>
                <w:sz w:val="1"/>
                <w:szCs w:val="1"/>
                <w:color w:val="auto"/>
              </w:rPr>
            </w:pPr>
          </w:p>
        </w:tc>
      </w:tr>
      <w:tr>
        <w:trPr>
          <w:trHeight w:val="156"/>
        </w:trPr>
        <w:tc>
          <w:tcPr>
            <w:tcW w:w="1000" w:type="dxa"/>
            <w:vAlign w:val="bottom"/>
            <w:gridSpan w:val="4"/>
          </w:tcPr>
          <w:p>
            <w:pPr>
              <w:ind w:left="20"/>
              <w:spacing w:after="0" w:line="155" w:lineRule="exact"/>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15+</w:t>
              </w:r>
            </w:hyperlink>
          </w:p>
        </w:tc>
        <w:tc>
          <w:tcPr>
            <w:tcW w:w="10280" w:type="dxa"/>
            <w:vAlign w:val="bottom"/>
          </w:tcPr>
          <w:p>
            <w:pPr>
              <w:ind w:left="600"/>
              <w:spacing w:after="0" w:line="155" w:lineRule="exact"/>
              <w:rPr>
                <w:sz w:val="20"/>
                <w:szCs w:val="20"/>
                <w:color w:val="auto"/>
              </w:rPr>
            </w:pPr>
            <w:r>
              <w:rPr>
                <w:rFonts w:ascii="Times New Roman" w:cs="Times New Roman" w:eastAsia="Times New Roman" w:hAnsi="Times New Roman"/>
                <w:sz w:val="14"/>
                <w:szCs w:val="14"/>
                <w:color w:val="auto"/>
              </w:rPr>
              <w:t>Aquestive Therapeutics, Inc. 2018 Equity Incentive Plan, as amended (filed as Exhibit 4.1 to the Registration Statement on Form S-8 of the Company (File No. 333-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0" w:type="dxa"/>
            <w:vAlign w:val="bottom"/>
          </w:tcPr>
          <w:p>
            <w:pPr>
              <w:spacing w:after="0"/>
              <w:rPr>
                <w:sz w:val="13"/>
                <w:szCs w:val="13"/>
                <w:color w:val="auto"/>
              </w:rPr>
            </w:pPr>
          </w:p>
        </w:tc>
        <w:tc>
          <w:tcPr>
            <w:tcW w:w="10280" w:type="dxa"/>
            <w:vAlign w:val="bottom"/>
          </w:tcPr>
          <w:p>
            <w:pPr>
              <w:ind w:left="600"/>
              <w:spacing w:after="0" w:line="156" w:lineRule="exact"/>
              <w:rPr>
                <w:sz w:val="20"/>
                <w:szCs w:val="20"/>
                <w:color w:val="auto"/>
              </w:rPr>
            </w:pPr>
            <w:r>
              <w:rPr>
                <w:rFonts w:ascii="Times New Roman" w:cs="Times New Roman" w:eastAsia="Times New Roman" w:hAnsi="Times New Roman"/>
                <w:sz w:val="14"/>
                <w:szCs w:val="14"/>
                <w:color w:val="auto"/>
              </w:rPr>
              <w:t>273857), as filed on August 9, 2023 and incorporated by reference herein).</w:t>
            </w:r>
          </w:p>
        </w:tc>
        <w:tc>
          <w:tcPr>
            <w:tcW w:w="0" w:type="dxa"/>
            <w:vAlign w:val="bottom"/>
          </w:tcPr>
          <w:p>
            <w:pPr>
              <w:spacing w:after="0"/>
              <w:rPr>
                <w:sz w:val="1"/>
                <w:szCs w:val="1"/>
                <w:color w:val="auto"/>
              </w:rPr>
            </w:pPr>
          </w:p>
        </w:tc>
      </w:tr>
      <w:tr>
        <w:trPr>
          <w:trHeight w:val="153"/>
        </w:trPr>
        <w:tc>
          <w:tcPr>
            <w:tcW w:w="1000" w:type="dxa"/>
            <w:vAlign w:val="bottom"/>
            <w:gridSpan w:val="4"/>
          </w:tcPr>
          <w:p>
            <w:pPr>
              <w:ind w:left="20"/>
              <w:spacing w:after="0" w:line="153" w:lineRule="exact"/>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16+</w:t>
              </w:r>
            </w:hyperlink>
          </w:p>
        </w:tc>
        <w:tc>
          <w:tcPr>
            <w:tcW w:w="10280" w:type="dxa"/>
            <w:vAlign w:val="bottom"/>
          </w:tcPr>
          <w:p>
            <w:pPr>
              <w:ind w:left="600"/>
              <w:spacing w:after="0" w:line="153" w:lineRule="exact"/>
              <w:rPr>
                <w:sz w:val="20"/>
                <w:szCs w:val="20"/>
                <w:color w:val="auto"/>
              </w:rPr>
            </w:pPr>
            <w:r>
              <w:rPr>
                <w:rFonts w:ascii="Times New Roman" w:cs="Times New Roman" w:eastAsia="Times New Roman" w:hAnsi="Times New Roman"/>
                <w:sz w:val="14"/>
                <w:szCs w:val="14"/>
                <w:color w:val="auto"/>
              </w:rPr>
              <w:t>Aquestive Therapeutics, Inc. Employee Stock Purchase Plan as Amended (filed as Exhibit 10.18 to the Annual Report of Form 10-K of the Company, as filed on March 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0" w:type="dxa"/>
            <w:vAlign w:val="bottom"/>
          </w:tcPr>
          <w:p>
            <w:pPr>
              <w:spacing w:after="0"/>
              <w:rPr>
                <w:sz w:val="13"/>
                <w:szCs w:val="13"/>
                <w:color w:val="auto"/>
              </w:rPr>
            </w:pPr>
          </w:p>
        </w:tc>
        <w:tc>
          <w:tcPr>
            <w:tcW w:w="10280" w:type="dxa"/>
            <w:vAlign w:val="bottom"/>
          </w:tcPr>
          <w:p>
            <w:pPr>
              <w:ind w:left="600"/>
              <w:spacing w:after="0" w:line="156" w:lineRule="exact"/>
              <w:rPr>
                <w:sz w:val="20"/>
                <w:szCs w:val="20"/>
                <w:color w:val="auto"/>
              </w:rPr>
            </w:pPr>
            <w:r>
              <w:rPr>
                <w:rFonts w:ascii="Times New Roman" w:cs="Times New Roman" w:eastAsia="Times New Roman" w:hAnsi="Times New Roman"/>
                <w:sz w:val="14"/>
                <w:szCs w:val="14"/>
                <w:color w:val="auto"/>
              </w:rPr>
              <w:t>2021, and incorporated by reference herein).</w:t>
            </w:r>
          </w:p>
        </w:tc>
        <w:tc>
          <w:tcPr>
            <w:tcW w:w="0" w:type="dxa"/>
            <w:vAlign w:val="bottom"/>
          </w:tcPr>
          <w:p>
            <w:pPr>
              <w:spacing w:after="0"/>
              <w:rPr>
                <w:sz w:val="1"/>
                <w:szCs w:val="1"/>
                <w:color w:val="auto"/>
              </w:rPr>
            </w:pPr>
          </w:p>
        </w:tc>
      </w:tr>
      <w:tr>
        <w:trPr>
          <w:trHeight w:val="153"/>
        </w:trPr>
        <w:tc>
          <w:tcPr>
            <w:tcW w:w="1000" w:type="dxa"/>
            <w:vAlign w:val="bottom"/>
            <w:gridSpan w:val="4"/>
          </w:tcPr>
          <w:p>
            <w:pPr>
              <w:ind w:left="20"/>
              <w:spacing w:after="0" w:line="153" w:lineRule="exact"/>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17+</w:t>
              </w:r>
            </w:hyperlink>
          </w:p>
        </w:tc>
        <w:tc>
          <w:tcPr>
            <w:tcW w:w="10280" w:type="dxa"/>
            <w:vAlign w:val="bottom"/>
          </w:tcPr>
          <w:p>
            <w:pPr>
              <w:ind w:left="600"/>
              <w:spacing w:after="0" w:line="153" w:lineRule="exact"/>
              <w:rPr>
                <w:sz w:val="20"/>
                <w:szCs w:val="20"/>
                <w:color w:val="auto"/>
              </w:rPr>
            </w:pPr>
            <w:r>
              <w:rPr>
                <w:rFonts w:ascii="Times New Roman" w:cs="Times New Roman" w:eastAsia="Times New Roman" w:hAnsi="Times New Roman"/>
                <w:sz w:val="14"/>
                <w:szCs w:val="14"/>
                <w:color w:val="auto"/>
              </w:rPr>
              <w:t>Form of Stock Option Agreement (filed as Exhibit 10.16 to the Registration Statement on Form S-1 of the Company (File No. 333-225924), as filed on June 27, 2018, and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0" w:type="dxa"/>
            <w:vAlign w:val="bottom"/>
          </w:tcPr>
          <w:p>
            <w:pPr>
              <w:spacing w:after="0"/>
              <w:rPr>
                <w:sz w:val="13"/>
                <w:szCs w:val="13"/>
                <w:color w:val="auto"/>
              </w:rPr>
            </w:pPr>
          </w:p>
        </w:tc>
        <w:tc>
          <w:tcPr>
            <w:tcW w:w="10280" w:type="dxa"/>
            <w:vAlign w:val="bottom"/>
          </w:tcPr>
          <w:p>
            <w:pPr>
              <w:ind w:left="600"/>
              <w:spacing w:after="0" w:line="156" w:lineRule="exact"/>
              <w:rPr>
                <w:sz w:val="20"/>
                <w:szCs w:val="20"/>
                <w:color w:val="auto"/>
              </w:rPr>
            </w:pPr>
            <w:r>
              <w:rPr>
                <w:rFonts w:ascii="Times New Roman" w:cs="Times New Roman" w:eastAsia="Times New Roman" w:hAnsi="Times New Roman"/>
                <w:sz w:val="14"/>
                <w:szCs w:val="14"/>
                <w:color w:val="auto"/>
              </w:rPr>
              <w:t>incorporated by reference herein).</w:t>
            </w:r>
          </w:p>
        </w:tc>
        <w:tc>
          <w:tcPr>
            <w:tcW w:w="0" w:type="dxa"/>
            <w:vAlign w:val="bottom"/>
          </w:tcPr>
          <w:p>
            <w:pPr>
              <w:spacing w:after="0"/>
              <w:rPr>
                <w:sz w:val="1"/>
                <w:szCs w:val="1"/>
                <w:color w:val="auto"/>
              </w:rPr>
            </w:pPr>
          </w:p>
        </w:tc>
      </w:tr>
      <w:tr>
        <w:trPr>
          <w:trHeight w:val="153"/>
        </w:trPr>
        <w:tc>
          <w:tcPr>
            <w:tcW w:w="1000" w:type="dxa"/>
            <w:vAlign w:val="bottom"/>
            <w:gridSpan w:val="4"/>
          </w:tcPr>
          <w:p>
            <w:pPr>
              <w:ind w:left="20"/>
              <w:spacing w:after="0" w:line="153" w:lineRule="exact"/>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18+</w:t>
              </w:r>
            </w:hyperlink>
          </w:p>
        </w:tc>
        <w:tc>
          <w:tcPr>
            <w:tcW w:w="10280" w:type="dxa"/>
            <w:vAlign w:val="bottom"/>
          </w:tcPr>
          <w:p>
            <w:pPr>
              <w:ind w:left="600"/>
              <w:spacing w:after="0" w:line="153" w:lineRule="exact"/>
              <w:rPr>
                <w:sz w:val="20"/>
                <w:szCs w:val="20"/>
                <w:color w:val="auto"/>
              </w:rPr>
            </w:pPr>
            <w:r>
              <w:rPr>
                <w:rFonts w:ascii="Times New Roman" w:cs="Times New Roman" w:eastAsia="Times New Roman" w:hAnsi="Times New Roman"/>
                <w:sz w:val="14"/>
                <w:szCs w:val="14"/>
                <w:color w:val="auto"/>
              </w:rPr>
              <w:t>Form of Stock Option Agreement under the Aquestive Therapeutics, Inc. 2018 Equity Incentive Plan (filed as Exhibit 10.17 to the Pre-Effective Amendment No. 1, as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0" w:type="dxa"/>
            <w:vAlign w:val="bottom"/>
          </w:tcPr>
          <w:p>
            <w:pPr>
              <w:spacing w:after="0"/>
              <w:rPr>
                <w:sz w:val="13"/>
                <w:szCs w:val="13"/>
                <w:color w:val="auto"/>
              </w:rPr>
            </w:pPr>
          </w:p>
        </w:tc>
        <w:tc>
          <w:tcPr>
            <w:tcW w:w="10280" w:type="dxa"/>
            <w:vAlign w:val="bottom"/>
          </w:tcPr>
          <w:p>
            <w:pPr>
              <w:ind w:left="600"/>
              <w:spacing w:after="0" w:line="156" w:lineRule="exact"/>
              <w:rPr>
                <w:sz w:val="20"/>
                <w:szCs w:val="20"/>
                <w:color w:val="auto"/>
              </w:rPr>
            </w:pPr>
            <w:r>
              <w:rPr>
                <w:rFonts w:ascii="Times New Roman" w:cs="Times New Roman" w:eastAsia="Times New Roman" w:hAnsi="Times New Roman"/>
                <w:sz w:val="14"/>
                <w:szCs w:val="14"/>
                <w:color w:val="auto"/>
              </w:rPr>
              <w:t>filed on July 16, 2018, to the Registration Statement on Form S-1 of the Company (File No. 333-225924) and incorporated by reference herein).</w:t>
            </w:r>
          </w:p>
        </w:tc>
        <w:tc>
          <w:tcPr>
            <w:tcW w:w="0" w:type="dxa"/>
            <w:vAlign w:val="bottom"/>
          </w:tcPr>
          <w:p>
            <w:pPr>
              <w:spacing w:after="0"/>
              <w:rPr>
                <w:sz w:val="1"/>
                <w:szCs w:val="1"/>
                <w:color w:val="auto"/>
              </w:rPr>
            </w:pPr>
          </w:p>
        </w:tc>
      </w:tr>
      <w:tr>
        <w:trPr>
          <w:trHeight w:val="153"/>
        </w:trPr>
        <w:tc>
          <w:tcPr>
            <w:tcW w:w="1000" w:type="dxa"/>
            <w:vAlign w:val="bottom"/>
            <w:gridSpan w:val="4"/>
          </w:tcPr>
          <w:p>
            <w:pPr>
              <w:ind w:left="20"/>
              <w:spacing w:after="0" w:line="153" w:lineRule="exact"/>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19+</w:t>
              </w:r>
            </w:hyperlink>
          </w:p>
        </w:tc>
        <w:tc>
          <w:tcPr>
            <w:tcW w:w="10280" w:type="dxa"/>
            <w:vAlign w:val="bottom"/>
          </w:tcPr>
          <w:p>
            <w:pPr>
              <w:ind w:left="600"/>
              <w:spacing w:after="0" w:line="153" w:lineRule="exact"/>
              <w:rPr>
                <w:sz w:val="20"/>
                <w:szCs w:val="20"/>
                <w:color w:val="auto"/>
              </w:rPr>
            </w:pPr>
            <w:r>
              <w:rPr>
                <w:rFonts w:ascii="Times New Roman" w:cs="Times New Roman" w:eastAsia="Times New Roman" w:hAnsi="Times New Roman"/>
                <w:sz w:val="14"/>
                <w:szCs w:val="14"/>
                <w:color w:val="auto"/>
              </w:rPr>
              <w:t>Form of Restricted Stock Unit Agreement under the Aquestive Therapeutics, Inc. 2018 Equity Incentive Plan (filed as Exhibit 10.18 to the Pre-Effective Amendment No.</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0" w:type="dxa"/>
            <w:vAlign w:val="bottom"/>
          </w:tcPr>
          <w:p>
            <w:pPr>
              <w:spacing w:after="0"/>
              <w:rPr>
                <w:sz w:val="13"/>
                <w:szCs w:val="13"/>
                <w:color w:val="auto"/>
              </w:rPr>
            </w:pPr>
          </w:p>
        </w:tc>
        <w:tc>
          <w:tcPr>
            <w:tcW w:w="10280" w:type="dxa"/>
            <w:vAlign w:val="bottom"/>
          </w:tcPr>
          <w:p>
            <w:pPr>
              <w:ind w:left="600"/>
              <w:spacing w:after="0" w:line="156" w:lineRule="exact"/>
              <w:rPr>
                <w:sz w:val="20"/>
                <w:szCs w:val="20"/>
                <w:color w:val="auto"/>
              </w:rPr>
            </w:pPr>
            <w:r>
              <w:rPr>
                <w:rFonts w:ascii="Times New Roman" w:cs="Times New Roman" w:eastAsia="Times New Roman" w:hAnsi="Times New Roman"/>
                <w:sz w:val="14"/>
                <w:szCs w:val="14"/>
                <w:color w:val="auto"/>
              </w:rPr>
              <w:t>1, as filed on July 16, 2018, to the Registration Statement on Form S-1 of the Company (File No. 333-225924) and incorporated by reference herein).</w:t>
            </w:r>
          </w:p>
        </w:tc>
        <w:tc>
          <w:tcPr>
            <w:tcW w:w="0" w:type="dxa"/>
            <w:vAlign w:val="bottom"/>
          </w:tcPr>
          <w:p>
            <w:pPr>
              <w:spacing w:after="0"/>
              <w:rPr>
                <w:sz w:val="1"/>
                <w:szCs w:val="1"/>
                <w:color w:val="auto"/>
              </w:rPr>
            </w:pPr>
          </w:p>
        </w:tc>
      </w:tr>
      <w:tr>
        <w:trPr>
          <w:trHeight w:val="153"/>
        </w:trPr>
        <w:tc>
          <w:tcPr>
            <w:tcW w:w="1000" w:type="dxa"/>
            <w:vAlign w:val="bottom"/>
            <w:gridSpan w:val="4"/>
          </w:tcPr>
          <w:p>
            <w:pPr>
              <w:ind w:left="20"/>
              <w:spacing w:after="0" w:line="153" w:lineRule="exact"/>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20+</w:t>
              </w:r>
            </w:hyperlink>
          </w:p>
        </w:tc>
        <w:tc>
          <w:tcPr>
            <w:tcW w:w="10280" w:type="dxa"/>
            <w:vAlign w:val="bottom"/>
          </w:tcPr>
          <w:p>
            <w:pPr>
              <w:ind w:left="600"/>
              <w:spacing w:after="0" w:line="153" w:lineRule="exact"/>
              <w:rPr>
                <w:sz w:val="20"/>
                <w:szCs w:val="20"/>
                <w:color w:val="auto"/>
              </w:rPr>
            </w:pPr>
            <w:r>
              <w:rPr>
                <w:rFonts w:ascii="Times New Roman" w:cs="Times New Roman" w:eastAsia="Times New Roman" w:hAnsi="Times New Roman"/>
                <w:sz w:val="14"/>
                <w:szCs w:val="14"/>
                <w:color w:val="auto"/>
              </w:rPr>
              <w:t>Executive Employment Agreement, dated as of September 10, 2018, by and between Aquestive Therapeutics, Inc. and Lori J. Braender (filed as Exhibit 10.4 to the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10280" w:type="dxa"/>
            <w:vAlign w:val="bottom"/>
            <w:vMerge w:val="restart"/>
          </w:tcPr>
          <w:p>
            <w:pPr>
              <w:ind w:left="600"/>
              <w:spacing w:after="0"/>
              <w:rPr>
                <w:sz w:val="20"/>
                <w:szCs w:val="20"/>
                <w:color w:val="auto"/>
              </w:rPr>
            </w:pPr>
            <w:r>
              <w:rPr>
                <w:rFonts w:ascii="Times New Roman" w:cs="Times New Roman" w:eastAsia="Times New Roman" w:hAnsi="Times New Roman"/>
                <w:sz w:val="14"/>
                <w:szCs w:val="14"/>
                <w:color w:val="auto"/>
              </w:rPr>
              <w:t>Quarterly Report on Form 10-Q of the Company, as filed on November 6, 2018, and incorporated by reference herein).</w:t>
            </w:r>
          </w:p>
        </w:tc>
        <w:tc>
          <w:tcPr>
            <w:tcW w:w="0" w:type="dxa"/>
            <w:vAlign w:val="bottom"/>
          </w:tcPr>
          <w:p>
            <w:pPr>
              <w:spacing w:after="0" w:line="20" w:lineRule="exact"/>
              <w:rPr>
                <w:sz w:val="1"/>
                <w:szCs w:val="1"/>
                <w:color w:val="auto"/>
              </w:rPr>
            </w:pPr>
          </w:p>
        </w:tc>
      </w:tr>
      <w:tr>
        <w:trPr>
          <w:trHeight w:val="164"/>
        </w:trPr>
        <w:tc>
          <w:tcPr>
            <w:tcW w:w="400" w:type="dxa"/>
            <w:vAlign w:val="bottom"/>
            <w:gridSpan w:val="3"/>
            <w:vMerge w:val="restart"/>
          </w:tcPr>
          <w:p>
            <w:pPr>
              <w:ind w:left="20"/>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21</w:t>
              </w:r>
            </w:hyperlink>
          </w:p>
        </w:tc>
        <w:tc>
          <w:tcPr>
            <w:tcW w:w="600" w:type="dxa"/>
            <w:vAlign w:val="bottom"/>
          </w:tcPr>
          <w:p>
            <w:pPr>
              <w:spacing w:after="0"/>
              <w:rPr>
                <w:sz w:val="14"/>
                <w:szCs w:val="14"/>
                <w:color w:val="auto"/>
              </w:rPr>
            </w:pPr>
          </w:p>
        </w:tc>
        <w:tc>
          <w:tcPr>
            <w:tcW w:w="10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0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10280" w:type="dxa"/>
            <w:vAlign w:val="bottom"/>
          </w:tcPr>
          <w:p>
            <w:pPr>
              <w:ind w:left="600"/>
              <w:spacing w:after="0" w:line="125" w:lineRule="exact"/>
              <w:rPr>
                <w:sz w:val="20"/>
                <w:szCs w:val="20"/>
                <w:color w:val="auto"/>
              </w:rPr>
            </w:pPr>
            <w:r>
              <w:rPr>
                <w:rFonts w:ascii="Times New Roman" w:cs="Times New Roman" w:eastAsia="Times New Roman" w:hAnsi="Times New Roman"/>
                <w:sz w:val="14"/>
                <w:szCs w:val="14"/>
                <w:color w:val="auto"/>
              </w:rPr>
              <w:t>Purchase and Sale Agreement, dated as of November 3, 2020, by and between Aquestive Therapeutics, Inc. and MAM Pangolin Royalty, LLC (filed as Exhibit 10.23 to</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600" w:type="dxa"/>
            <w:vAlign w:val="bottom"/>
          </w:tcPr>
          <w:p>
            <w:pPr>
              <w:spacing w:after="0"/>
              <w:rPr>
                <w:sz w:val="15"/>
                <w:szCs w:val="15"/>
                <w:color w:val="auto"/>
              </w:rPr>
            </w:pPr>
          </w:p>
        </w:tc>
        <w:tc>
          <w:tcPr>
            <w:tcW w:w="102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the Annual Report on Form 10-K of the Company, as filed on March 9, 2021, and incorporated by reference herein).</w:t>
            </w:r>
          </w:p>
        </w:tc>
        <w:tc>
          <w:tcPr>
            <w:tcW w:w="0" w:type="dxa"/>
            <w:vAlign w:val="bottom"/>
          </w:tcPr>
          <w:p>
            <w:pPr>
              <w:spacing w:after="0"/>
              <w:rPr>
                <w:sz w:val="1"/>
                <w:szCs w:val="1"/>
                <w:color w:val="auto"/>
              </w:rPr>
            </w:pPr>
          </w:p>
        </w:tc>
      </w:tr>
      <w:tr>
        <w:trPr>
          <w:trHeight w:val="170"/>
        </w:trPr>
        <w:tc>
          <w:tcPr>
            <w:tcW w:w="400" w:type="dxa"/>
            <w:vAlign w:val="bottom"/>
            <w:gridSpan w:val="3"/>
          </w:tcPr>
          <w:p>
            <w:pPr>
              <w:ind w:left="20"/>
              <w:spacing w:after="0" w:line="150" w:lineRule="exact"/>
              <w:rPr>
                <w:rFonts w:ascii="Times New Roman" w:cs="Times New Roman" w:eastAsia="Times New Roman" w:hAnsi="Times New Roman"/>
                <w:sz w:val="14"/>
                <w:szCs w:val="14"/>
                <w:color w:val="0000FF"/>
                <w:w w:val="86"/>
              </w:rPr>
            </w:pPr>
            <w:hyperlink r:id="rId129">
              <w:r>
                <w:rPr>
                  <w:rFonts w:ascii="Times New Roman" w:cs="Times New Roman" w:eastAsia="Times New Roman" w:hAnsi="Times New Roman"/>
                  <w:sz w:val="14"/>
                  <w:szCs w:val="14"/>
                  <w:color w:val="0000FF"/>
                  <w:w w:val="86"/>
                </w:rPr>
                <w:t>10.</w:t>
              </w:r>
              <w:r>
                <w:rPr>
                  <w:rFonts w:ascii="Times New Roman" w:cs="Times New Roman" w:eastAsia="Times New Roman" w:hAnsi="Times New Roman"/>
                  <w:sz w:val="14"/>
                  <w:szCs w:val="14"/>
                  <w:u w:val="single" w:color="auto"/>
                  <w:color w:val="0000FF"/>
                  <w:w w:val="86"/>
                </w:rPr>
                <w:t>25</w:t>
              </w:r>
            </w:hyperlink>
            <w:r>
              <w:rPr>
                <w:rFonts w:ascii="Times New Roman" w:cs="Times New Roman" w:eastAsia="Times New Roman" w:hAnsi="Times New Roman"/>
                <w:sz w:val="14"/>
                <w:szCs w:val="14"/>
                <w:color w:val="000000"/>
                <w:w w:val="86"/>
              </w:rPr>
              <w:t>+</w:t>
            </w:r>
          </w:p>
        </w:tc>
        <w:tc>
          <w:tcPr>
            <w:tcW w:w="600" w:type="dxa"/>
            <w:vAlign w:val="bottom"/>
          </w:tcPr>
          <w:p>
            <w:pPr>
              <w:spacing w:after="0"/>
              <w:rPr>
                <w:sz w:val="14"/>
                <w:szCs w:val="14"/>
                <w:color w:val="auto"/>
              </w:rPr>
            </w:pPr>
          </w:p>
        </w:tc>
        <w:tc>
          <w:tcPr>
            <w:tcW w:w="10280" w:type="dxa"/>
            <w:vAlign w:val="bottom"/>
          </w:tcPr>
          <w:p>
            <w:pPr>
              <w:ind w:left="600"/>
              <w:spacing w:after="0" w:line="150" w:lineRule="exact"/>
              <w:rPr>
                <w:sz w:val="20"/>
                <w:szCs w:val="20"/>
                <w:color w:val="auto"/>
              </w:rPr>
            </w:pPr>
            <w:r>
              <w:rPr>
                <w:rFonts w:ascii="Times New Roman" w:cs="Times New Roman" w:eastAsia="Times New Roman" w:hAnsi="Times New Roman"/>
                <w:sz w:val="14"/>
                <w:szCs w:val="14"/>
                <w:color w:val="auto"/>
              </w:rPr>
              <w:t>First Amendment to Executive Employment Agreement, dated as of June 30, 2021, by and between Aquestive Therapeutics, Inc. and Alexander Mark Schobel (as filed as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600" w:type="dxa"/>
            <w:vAlign w:val="bottom"/>
          </w:tcPr>
          <w:p>
            <w:pPr>
              <w:spacing w:after="0"/>
              <w:rPr>
                <w:sz w:val="15"/>
                <w:szCs w:val="15"/>
                <w:color w:val="auto"/>
              </w:rPr>
            </w:pPr>
          </w:p>
        </w:tc>
        <w:tc>
          <w:tcPr>
            <w:tcW w:w="102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Exhibit 10.25 to the Annual Report on Form 10-K of the Company, as filed on March 8, 2022, and incorporated by reference herein).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80" w:type="dxa"/>
            <w:vAlign w:val="bottom"/>
            <w:gridSpan w:val="3"/>
          </w:tcPr>
          <w:p>
            <w:pPr>
              <w:spacing w:after="0" w:line="150" w:lineRule="exact"/>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27†</w:t>
              </w:r>
            </w:hyperlink>
          </w:p>
        </w:tc>
        <w:tc>
          <w:tcPr>
            <w:tcW w:w="10280" w:type="dxa"/>
            <w:vAlign w:val="bottom"/>
          </w:tcPr>
          <w:p>
            <w:pPr>
              <w:ind w:left="600"/>
              <w:spacing w:after="0" w:line="150" w:lineRule="exact"/>
              <w:rPr>
                <w:sz w:val="20"/>
                <w:szCs w:val="20"/>
                <w:color w:val="auto"/>
              </w:rPr>
            </w:pPr>
            <w:r>
              <w:rPr>
                <w:rFonts w:ascii="Times New Roman" w:cs="Times New Roman" w:eastAsia="Times New Roman" w:hAnsi="Times New Roman"/>
                <w:sz w:val="14"/>
                <w:szCs w:val="14"/>
                <w:color w:val="auto"/>
              </w:rPr>
              <w:t>License and Supply Agreement, dated as of September 26, 2022, by and between Aquestive Therapeutics, Inc. and Atnahs Pharma UK Limited (filed as Exhibit 10.1 to</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600" w:type="dxa"/>
            <w:vAlign w:val="bottom"/>
          </w:tcPr>
          <w:p>
            <w:pPr>
              <w:spacing w:after="0"/>
              <w:rPr>
                <w:sz w:val="15"/>
                <w:szCs w:val="15"/>
                <w:color w:val="auto"/>
              </w:rPr>
            </w:pPr>
          </w:p>
        </w:tc>
        <w:tc>
          <w:tcPr>
            <w:tcW w:w="102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the Quarterly Report on Form 10-Q of the Company, as filed on November 1, 2022, and incorporated by reference herein).</w:t>
            </w:r>
          </w:p>
        </w:tc>
        <w:tc>
          <w:tcPr>
            <w:tcW w:w="0" w:type="dxa"/>
            <w:vAlign w:val="bottom"/>
          </w:tcPr>
          <w:p>
            <w:pPr>
              <w:spacing w:after="0"/>
              <w:rPr>
                <w:sz w:val="1"/>
                <w:szCs w:val="1"/>
                <w:color w:val="auto"/>
              </w:rPr>
            </w:pPr>
          </w:p>
        </w:tc>
      </w:tr>
      <w:tr>
        <w:trPr>
          <w:trHeight w:val="78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80" w:type="dxa"/>
            <w:vAlign w:val="bottom"/>
          </w:tcPr>
          <w:p>
            <w:pPr>
              <w:ind w:left="4580"/>
              <w:spacing w:after="0"/>
              <w:rPr>
                <w:sz w:val="20"/>
                <w:szCs w:val="20"/>
                <w:color w:val="auto"/>
              </w:rPr>
            </w:pPr>
            <w:r>
              <w:rPr>
                <w:rFonts w:ascii="Times New Roman" w:cs="Times New Roman" w:eastAsia="Times New Roman" w:hAnsi="Times New Roman"/>
                <w:sz w:val="13"/>
                <w:szCs w:val="13"/>
                <w:color w:val="auto"/>
              </w:rPr>
              <w:t>77</w:t>
            </w:r>
          </w:p>
        </w:tc>
        <w:tc>
          <w:tcPr>
            <w:tcW w:w="0" w:type="dxa"/>
            <w:vAlign w:val="bottom"/>
          </w:tcPr>
          <w:p>
            <w:pPr>
              <w:spacing w:after="0"/>
              <w:rPr>
                <w:sz w:val="1"/>
                <w:szCs w:val="1"/>
                <w:color w:val="auto"/>
              </w:rPr>
            </w:pPr>
          </w:p>
        </w:tc>
      </w:tr>
      <w:tr>
        <w:trPr>
          <w:trHeight w:val="80"/>
        </w:trPr>
        <w:tc>
          <w:tcPr>
            <w:tcW w:w="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02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27" w:right="319" w:bottom="1440" w:gutter="0" w:footer="0" w:header="0"/>
        </w:sectPr>
      </w:pPr>
    </w:p>
    <w:bookmarkStart w:id="83" w:name="page84"/>
    <w:bookmarkEnd w:id="83"/>
    <w:p>
      <w:pPr>
        <w:ind w:left="20"/>
        <w:spacing w:after="0"/>
        <w:rPr>
          <w:rFonts w:ascii="Times New Roman" w:cs="Times New Roman" w:eastAsia="Times New Roman" w:hAnsi="Times New Roman"/>
          <w:sz w:val="13"/>
          <w:szCs w:val="13"/>
          <w:color w:val="0000FF"/>
        </w:rPr>
      </w:pPr>
      <w:hyperlink r:id="rId133">
        <w:r>
          <w:rPr>
            <w:rFonts w:ascii="Times New Roman" w:cs="Times New Roman" w:eastAsia="Times New Roman" w:hAnsi="Times New Roman"/>
            <w:sz w:val="13"/>
            <w:szCs w:val="13"/>
            <w:u w:val="single" w:color="auto"/>
            <w:color w:val="0000FF"/>
          </w:rPr>
          <w:t>10.28</w:t>
        </w:r>
      </w:hyperlink>
      <w:r>
        <w:rPr>
          <w:rFonts w:ascii="Times New Roman" w:cs="Times New Roman" w:eastAsia="Times New Roman" w:hAnsi="Times New Roman"/>
          <w:sz w:val="13"/>
          <w:szCs w:val="13"/>
          <w:color w:val="000000"/>
        </w:rPr>
        <w:t>†</w:t>
      </w:r>
    </w:p>
    <w:p>
      <w:pPr>
        <w:spacing w:after="0" w:line="222" w:lineRule="exact"/>
        <w:rPr>
          <w:sz w:val="20"/>
          <w:szCs w:val="20"/>
          <w:color w:val="auto"/>
        </w:rPr>
      </w:pPr>
    </w:p>
    <w:p>
      <w:pPr>
        <w:ind w:left="20"/>
        <w:spacing w:after="0"/>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u w:val="single" w:color="auto"/>
            <w:color w:val="0000FF"/>
          </w:rPr>
          <w:t>10.29</w:t>
        </w:r>
      </w:hyperlink>
      <w:r>
        <w:rPr>
          <w:rFonts w:ascii="Times New Roman" w:cs="Times New Roman" w:eastAsia="Times New Roman" w:hAnsi="Times New Roman"/>
          <w:sz w:val="13"/>
          <w:szCs w:val="13"/>
          <w:color w:val="000000"/>
        </w:rPr>
        <w:t>†</w:t>
      </w:r>
    </w:p>
    <w:p>
      <w:pPr>
        <w:spacing w:after="0" w:line="222" w:lineRule="exact"/>
        <w:rPr>
          <w:sz w:val="20"/>
          <w:szCs w:val="20"/>
          <w:color w:val="auto"/>
        </w:rPr>
      </w:pPr>
    </w:p>
    <w:p>
      <w:pPr>
        <w:ind w:left="20"/>
        <w:spacing w:after="0"/>
        <w:rPr>
          <w:rFonts w:ascii="Times New Roman" w:cs="Times New Roman" w:eastAsia="Times New Roman" w:hAnsi="Times New Roman"/>
          <w:sz w:val="14"/>
          <w:szCs w:val="14"/>
          <w:u w:val="single" w:color="auto"/>
          <w:color w:val="0000FF"/>
        </w:rPr>
      </w:pPr>
      <w:hyperlink r:id="rId135">
        <w:r>
          <w:rPr>
            <w:rFonts w:ascii="Times New Roman" w:cs="Times New Roman" w:eastAsia="Times New Roman" w:hAnsi="Times New Roman"/>
            <w:sz w:val="14"/>
            <w:szCs w:val="14"/>
            <w:u w:val="single" w:color="auto"/>
            <w:color w:val="0000FF"/>
          </w:rPr>
          <w:t>10.34</w:t>
        </w:r>
      </w:hyperlink>
    </w:p>
    <w:p>
      <w:pPr>
        <w:spacing w:after="0" w:line="20" w:lineRule="exact"/>
        <w:rPr>
          <w:sz w:val="20"/>
          <w:szCs w:val="20"/>
          <w:color w:val="auto"/>
        </w:rPr>
      </w:pPr>
      <w:r>
        <w:rPr>
          <w:sz w:val="20"/>
          <w:szCs w:val="20"/>
          <w:color w:val="auto"/>
        </w:rPr>
        <w:br w:type="column"/>
      </w:r>
    </w:p>
    <w:p>
      <w:pPr>
        <w:ind w:right="20"/>
        <w:spacing w:after="0" w:line="271" w:lineRule="auto"/>
        <w:rPr>
          <w:sz w:val="20"/>
          <w:szCs w:val="20"/>
          <w:color w:val="auto"/>
        </w:rPr>
      </w:pPr>
      <w:r>
        <w:rPr>
          <w:rFonts w:ascii="Times New Roman" w:cs="Times New Roman" w:eastAsia="Times New Roman" w:hAnsi="Times New Roman"/>
          <w:sz w:val="14"/>
          <w:szCs w:val="14"/>
          <w:color w:val="auto"/>
        </w:rPr>
        <w:t>License, Development and Supply Agreement, dated as of March 2022, by and between Aquestive Therapeutics, Inc. and Haisco Pharmaceutical Group Co., Ltd. (filed as Exhibit 10.1 to the Quarterly Report on Form 10-Q of the Company, as filed on May 4, 2022, and incorporated by reference herein).</w:t>
      </w:r>
    </w:p>
    <w:p>
      <w:pPr>
        <w:spacing w:after="0" w:line="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4"/>
          <w:szCs w:val="14"/>
          <w:color w:val="auto"/>
        </w:rPr>
        <w:t>License Agreement, dated as of October 26, 2022, by and between Aquestive Therapeutics, Inc. and Otter Pharmaceuticals, LLC (filed herewith) (as filed as Exhibit 10.29 to the Annual Report on Form 10-K of the Company, as filed on March 31, 2023, and incorporated by reference herein).</w:t>
      </w:r>
    </w:p>
    <w:p>
      <w:pPr>
        <w:spacing w:after="0" w:line="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4"/>
          <w:szCs w:val="14"/>
          <w:color w:val="auto"/>
        </w:rPr>
        <w:t>Equity Distribution Agreement, dated September 11, 2019, by and between Aquestive Therapeutics, Inc. and Piper Sandler &amp; Co. (filed as Exhibit 1.2 to the Registration Statement on Form S-3 (333-233716) of the Company, as filed on September 11, 2019, and incorporated by reference herein)</w:t>
      </w:r>
    </w:p>
    <w:p>
      <w:pPr>
        <w:spacing w:after="0" w:line="1" w:lineRule="exact"/>
        <w:rPr>
          <w:sz w:val="20"/>
          <w:szCs w:val="20"/>
          <w:color w:val="auto"/>
        </w:rPr>
      </w:pPr>
    </w:p>
    <w:p>
      <w:pPr>
        <w:sectPr>
          <w:pgSz w:w="11900" w:h="16838" w:orient="portrait"/>
          <w:cols w:equalWidth="0" w:num="2">
            <w:col w:w="880" w:space="720"/>
            <w:col w:w="9680"/>
          </w:cols>
          <w:pgMar w:left="300" w:top="835" w:right="319" w:bottom="1440" w:gutter="0" w:footer="0" w:header="0"/>
        </w:sectPr>
      </w:pPr>
    </w:p>
    <w:tbl>
      <w:tblPr>
        <w:tblLayout w:type="fixed"/>
        <w:tblInd w:w="0" w:type="dxa"/>
        <w:tblCellMar>
          <w:top w:w="0" w:type="dxa"/>
          <w:left w:w="0" w:type="dxa"/>
          <w:bottom w:w="0" w:type="dxa"/>
          <w:right w:w="0" w:type="dxa"/>
        </w:tblCellMar>
      </w:tblPr>
      <w:tr>
        <w:trPr>
          <w:trHeight w:val="161"/>
        </w:trPr>
        <w:tc>
          <w:tcPr>
            <w:tcW w:w="400" w:type="dxa"/>
            <w:vAlign w:val="bottom"/>
            <w:gridSpan w:val="4"/>
          </w:tcPr>
          <w:p>
            <w:pPr>
              <w:ind w:left="20"/>
              <w:spacing w:after="0"/>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35</w:t>
              </w:r>
            </w:hyperlink>
          </w:p>
        </w:tc>
        <w:tc>
          <w:tcPr>
            <w:tcW w:w="700" w:type="dxa"/>
            <w:vAlign w:val="bottom"/>
          </w:tcPr>
          <w:p>
            <w:pPr>
              <w:spacing w:after="0"/>
              <w:rPr>
                <w:sz w:val="13"/>
                <w:szCs w:val="13"/>
                <w:color w:val="auto"/>
              </w:rPr>
            </w:pPr>
          </w:p>
        </w:tc>
        <w:tc>
          <w:tcPr>
            <w:tcW w:w="101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Amendment No. 1 to the Equity Distribution Agreement, dated March 26, 2021, by and between Aquestive Therapeutics, Inc. and Piper Sandler &amp; Co. (filed as Exhibit</w:t>
            </w: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180" w:type="dxa"/>
            <w:vAlign w:val="bottom"/>
          </w:tcPr>
          <w:p>
            <w:pPr>
              <w:ind w:left="500"/>
              <w:spacing w:after="0" w:line="156" w:lineRule="exact"/>
              <w:rPr>
                <w:sz w:val="20"/>
                <w:szCs w:val="20"/>
                <w:color w:val="auto"/>
              </w:rPr>
            </w:pPr>
            <w:r>
              <w:rPr>
                <w:rFonts w:ascii="Times New Roman" w:cs="Times New Roman" w:eastAsia="Times New Roman" w:hAnsi="Times New Roman"/>
                <w:sz w:val="14"/>
                <w:szCs w:val="14"/>
                <w:color w:val="auto"/>
              </w:rPr>
              <w:t>10.1 to the Current Report on Form 8-K of the Company, as filed on March 26, 2021, and incorporated by reference herein)</w:t>
            </w:r>
          </w:p>
        </w:tc>
      </w:tr>
      <w:tr>
        <w:trPr>
          <w:trHeight w:val="153"/>
        </w:trPr>
        <w:tc>
          <w:tcPr>
            <w:tcW w:w="400" w:type="dxa"/>
            <w:vAlign w:val="bottom"/>
            <w:gridSpan w:val="4"/>
          </w:tcPr>
          <w:p>
            <w:pPr>
              <w:ind w:left="20"/>
              <w:spacing w:after="0" w:line="153" w:lineRule="exact"/>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36</w:t>
              </w:r>
            </w:hyperlink>
          </w:p>
        </w:tc>
        <w:tc>
          <w:tcPr>
            <w:tcW w:w="700" w:type="dxa"/>
            <w:vAlign w:val="bottom"/>
          </w:tcPr>
          <w:p>
            <w:pPr>
              <w:spacing w:after="0"/>
              <w:rPr>
                <w:sz w:val="13"/>
                <w:szCs w:val="13"/>
                <w:color w:val="auto"/>
              </w:rPr>
            </w:pPr>
          </w:p>
        </w:tc>
        <w:tc>
          <w:tcPr>
            <w:tcW w:w="10180" w:type="dxa"/>
            <w:vAlign w:val="bottom"/>
          </w:tcPr>
          <w:p>
            <w:pPr>
              <w:ind w:left="500"/>
              <w:spacing w:after="0" w:line="153" w:lineRule="exact"/>
              <w:rPr>
                <w:sz w:val="20"/>
                <w:szCs w:val="20"/>
                <w:color w:val="auto"/>
              </w:rPr>
            </w:pPr>
            <w:r>
              <w:rPr>
                <w:rFonts w:ascii="Times New Roman" w:cs="Times New Roman" w:eastAsia="Times New Roman" w:hAnsi="Times New Roman"/>
                <w:sz w:val="14"/>
                <w:szCs w:val="14"/>
                <w:color w:val="auto"/>
              </w:rPr>
              <w:t>Inducement Offer to Exercise Common Stock Purchase Warrants Letter Agreement dated August 1, 2023 (filed as Exhibit 10.1 to the Current Report on Form 8-K of the</w:t>
            </w: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180" w:type="dxa"/>
            <w:vAlign w:val="bottom"/>
          </w:tcPr>
          <w:p>
            <w:pPr>
              <w:ind w:left="500"/>
              <w:spacing w:after="0" w:line="156" w:lineRule="exact"/>
              <w:rPr>
                <w:sz w:val="20"/>
                <w:szCs w:val="20"/>
                <w:color w:val="auto"/>
              </w:rPr>
            </w:pPr>
            <w:r>
              <w:rPr>
                <w:rFonts w:ascii="Times New Roman" w:cs="Times New Roman" w:eastAsia="Times New Roman" w:hAnsi="Times New Roman"/>
                <w:sz w:val="14"/>
                <w:szCs w:val="14"/>
                <w:color w:val="auto"/>
              </w:rPr>
              <w:t>Company, as filed on August 2, 2023, and incorporated by reference herein).</w:t>
            </w:r>
          </w:p>
        </w:tc>
      </w:tr>
      <w:tr>
        <w:trPr>
          <w:trHeight w:val="153"/>
        </w:trPr>
        <w:tc>
          <w:tcPr>
            <w:tcW w:w="400" w:type="dxa"/>
            <w:vAlign w:val="bottom"/>
            <w:gridSpan w:val="4"/>
          </w:tcPr>
          <w:p>
            <w:pPr>
              <w:ind w:left="20"/>
              <w:spacing w:after="0" w:line="153" w:lineRule="exact"/>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37</w:t>
              </w:r>
            </w:hyperlink>
          </w:p>
        </w:tc>
        <w:tc>
          <w:tcPr>
            <w:tcW w:w="700" w:type="dxa"/>
            <w:vAlign w:val="bottom"/>
          </w:tcPr>
          <w:p>
            <w:pPr>
              <w:spacing w:after="0"/>
              <w:rPr>
                <w:sz w:val="13"/>
                <w:szCs w:val="13"/>
                <w:color w:val="auto"/>
              </w:rPr>
            </w:pPr>
          </w:p>
        </w:tc>
        <w:tc>
          <w:tcPr>
            <w:tcW w:w="10180" w:type="dxa"/>
            <w:vAlign w:val="bottom"/>
          </w:tcPr>
          <w:p>
            <w:pPr>
              <w:ind w:left="500"/>
              <w:spacing w:after="0" w:line="153" w:lineRule="exact"/>
              <w:rPr>
                <w:sz w:val="20"/>
                <w:szCs w:val="20"/>
                <w:color w:val="auto"/>
              </w:rPr>
            </w:pPr>
            <w:r>
              <w:rPr>
                <w:rFonts w:ascii="Times New Roman" w:cs="Times New Roman" w:eastAsia="Times New Roman" w:hAnsi="Times New Roman"/>
                <w:sz w:val="14"/>
                <w:szCs w:val="14"/>
                <w:color w:val="auto"/>
              </w:rPr>
              <w:t>Form of Purchase Agreement for the 13.5% Notes (filed as Exhibit 10.1 to the Current Report on Form 8-K of the Company, as filed on November 2, 2023, and</w:t>
            </w: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180" w:type="dxa"/>
            <w:vAlign w:val="bottom"/>
          </w:tcPr>
          <w:p>
            <w:pPr>
              <w:ind w:left="500"/>
              <w:spacing w:after="0" w:line="156" w:lineRule="exact"/>
              <w:rPr>
                <w:sz w:val="20"/>
                <w:szCs w:val="20"/>
                <w:color w:val="auto"/>
              </w:rPr>
            </w:pPr>
            <w:r>
              <w:rPr>
                <w:rFonts w:ascii="Times New Roman" w:cs="Times New Roman" w:eastAsia="Times New Roman" w:hAnsi="Times New Roman"/>
                <w:sz w:val="14"/>
                <w:szCs w:val="14"/>
                <w:color w:val="auto"/>
              </w:rPr>
              <w:t>incorporated by reference herein).</w:t>
            </w:r>
          </w:p>
        </w:tc>
      </w:tr>
      <w:tr>
        <w:trPr>
          <w:trHeight w:val="153"/>
        </w:trPr>
        <w:tc>
          <w:tcPr>
            <w:tcW w:w="400" w:type="dxa"/>
            <w:vAlign w:val="bottom"/>
            <w:gridSpan w:val="4"/>
          </w:tcPr>
          <w:p>
            <w:pPr>
              <w:ind w:left="20"/>
              <w:spacing w:after="0" w:line="153" w:lineRule="exact"/>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38</w:t>
              </w:r>
            </w:hyperlink>
          </w:p>
        </w:tc>
        <w:tc>
          <w:tcPr>
            <w:tcW w:w="700" w:type="dxa"/>
            <w:vAlign w:val="bottom"/>
          </w:tcPr>
          <w:p>
            <w:pPr>
              <w:spacing w:after="0"/>
              <w:rPr>
                <w:sz w:val="13"/>
                <w:szCs w:val="13"/>
                <w:color w:val="auto"/>
              </w:rPr>
            </w:pPr>
          </w:p>
        </w:tc>
        <w:tc>
          <w:tcPr>
            <w:tcW w:w="10180" w:type="dxa"/>
            <w:vAlign w:val="bottom"/>
          </w:tcPr>
          <w:p>
            <w:pPr>
              <w:ind w:left="500"/>
              <w:spacing w:after="0" w:line="153" w:lineRule="exact"/>
              <w:rPr>
                <w:sz w:val="20"/>
                <w:szCs w:val="20"/>
                <w:color w:val="auto"/>
              </w:rPr>
            </w:pPr>
            <w:r>
              <w:rPr>
                <w:rFonts w:ascii="Times New Roman" w:cs="Times New Roman" w:eastAsia="Times New Roman" w:hAnsi="Times New Roman"/>
                <w:sz w:val="14"/>
                <w:szCs w:val="14"/>
                <w:color w:val="auto"/>
              </w:rPr>
              <w:t>Collateral Agreement dated as of November 1, 2023 among Aquestive Therapeutics, Inc., as Issuer, the other Grantors from time to time party thereto, U.S. Bank Trust</w:t>
            </w:r>
          </w:p>
        </w:tc>
      </w:tr>
      <w:tr>
        <w:trPr>
          <w:trHeight w:val="107"/>
        </w:trPr>
        <w:tc>
          <w:tcPr>
            <w:tcW w:w="20" w:type="dxa"/>
            <w:vAlign w:val="bottom"/>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180" w:type="dxa"/>
            <w:vAlign w:val="bottom"/>
          </w:tcPr>
          <w:p>
            <w:pPr>
              <w:ind w:left="500"/>
              <w:spacing w:after="0" w:line="107" w:lineRule="exact"/>
              <w:rPr>
                <w:sz w:val="20"/>
                <w:szCs w:val="20"/>
                <w:color w:val="auto"/>
              </w:rPr>
            </w:pPr>
            <w:r>
              <w:rPr>
                <w:rFonts w:ascii="Times New Roman" w:cs="Times New Roman" w:eastAsia="Times New Roman" w:hAnsi="Times New Roman"/>
                <w:sz w:val="12"/>
                <w:szCs w:val="12"/>
                <w:color w:val="auto"/>
              </w:rPr>
              <w:t>Company, National Association, as Trustee, and U.S. Bank Trust Company, National Association, as Collateral Agent (filed as Exhibit 10.2 to the Current Report on Form</w:t>
            </w: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1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8-K of the Company, as filed on November 2, 2023, and incorporated by reference herein).</w:t>
            </w:r>
          </w:p>
        </w:tc>
      </w:tr>
      <w:tr>
        <w:trPr>
          <w:trHeight w:val="156"/>
        </w:trPr>
        <w:tc>
          <w:tcPr>
            <w:tcW w:w="20" w:type="dxa"/>
            <w:vAlign w:val="bottom"/>
          </w:tcPr>
          <w:p>
            <w:pPr>
              <w:spacing w:after="0"/>
              <w:rPr>
                <w:sz w:val="13"/>
                <w:szCs w:val="13"/>
                <w:color w:val="auto"/>
              </w:rPr>
            </w:pPr>
          </w:p>
        </w:tc>
        <w:tc>
          <w:tcPr>
            <w:tcW w:w="1080" w:type="dxa"/>
            <w:vAlign w:val="bottom"/>
            <w:gridSpan w:val="4"/>
          </w:tcPr>
          <w:p>
            <w:pPr>
              <w:spacing w:after="0" w:line="155" w:lineRule="exact"/>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39†</w:t>
              </w:r>
            </w:hyperlink>
          </w:p>
        </w:tc>
        <w:tc>
          <w:tcPr>
            <w:tcW w:w="10180" w:type="dxa"/>
            <w:vAlign w:val="bottom"/>
          </w:tcPr>
          <w:p>
            <w:pPr>
              <w:ind w:left="500"/>
              <w:spacing w:after="0" w:line="155" w:lineRule="exact"/>
              <w:rPr>
                <w:sz w:val="20"/>
                <w:szCs w:val="20"/>
                <w:color w:val="auto"/>
              </w:rPr>
            </w:pPr>
            <w:r>
              <w:rPr>
                <w:rFonts w:ascii="Times New Roman" w:cs="Times New Roman" w:eastAsia="Times New Roman" w:hAnsi="Times New Roman"/>
                <w:sz w:val="14"/>
                <w:szCs w:val="14"/>
                <w:color w:val="auto"/>
              </w:rPr>
              <w:t>Form of Royalty Right Agreement (filed as Exhibit 10.3 to the Current Report on Form 8-K of the Company, as filed on November 2, 2023, and incorporated by reference</w:t>
            </w: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10180" w:type="dxa"/>
            <w:vAlign w:val="bottom"/>
          </w:tcPr>
          <w:p>
            <w:pPr>
              <w:ind w:left="500"/>
              <w:spacing w:after="0" w:line="156" w:lineRule="exact"/>
              <w:rPr>
                <w:sz w:val="20"/>
                <w:szCs w:val="20"/>
                <w:color w:val="auto"/>
              </w:rPr>
            </w:pPr>
            <w:r>
              <w:rPr>
                <w:rFonts w:ascii="Times New Roman" w:cs="Times New Roman" w:eastAsia="Times New Roman" w:hAnsi="Times New Roman"/>
                <w:sz w:val="14"/>
                <w:szCs w:val="14"/>
                <w:color w:val="auto"/>
              </w:rPr>
              <w:t>herein).</w:t>
            </w:r>
          </w:p>
        </w:tc>
      </w:tr>
      <w:tr>
        <w:trPr>
          <w:trHeight w:val="153"/>
        </w:trPr>
        <w:tc>
          <w:tcPr>
            <w:tcW w:w="400" w:type="dxa"/>
            <w:vAlign w:val="bottom"/>
            <w:gridSpan w:val="4"/>
          </w:tcPr>
          <w:p>
            <w:pPr>
              <w:ind w:left="20"/>
              <w:spacing w:after="0" w:line="153" w:lineRule="exact"/>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40</w:t>
              </w:r>
            </w:hyperlink>
          </w:p>
        </w:tc>
        <w:tc>
          <w:tcPr>
            <w:tcW w:w="700" w:type="dxa"/>
            <w:vAlign w:val="bottom"/>
          </w:tcPr>
          <w:p>
            <w:pPr>
              <w:spacing w:after="0"/>
              <w:rPr>
                <w:sz w:val="13"/>
                <w:szCs w:val="13"/>
                <w:color w:val="auto"/>
              </w:rPr>
            </w:pPr>
          </w:p>
        </w:tc>
        <w:tc>
          <w:tcPr>
            <w:tcW w:w="10180" w:type="dxa"/>
            <w:vAlign w:val="bottom"/>
          </w:tcPr>
          <w:p>
            <w:pPr>
              <w:ind w:left="500"/>
              <w:spacing w:after="0" w:line="153" w:lineRule="exact"/>
              <w:rPr>
                <w:sz w:val="20"/>
                <w:szCs w:val="20"/>
                <w:color w:val="auto"/>
              </w:rPr>
            </w:pPr>
            <w:r>
              <w:rPr>
                <w:rFonts w:ascii="Times New Roman" w:cs="Times New Roman" w:eastAsia="Times New Roman" w:hAnsi="Times New Roman"/>
                <w:sz w:val="14"/>
                <w:szCs w:val="14"/>
                <w:color w:val="auto"/>
              </w:rPr>
              <w:t>Amendment to License and Supply Agreement between Aquestive and Atnahs Pharma UK Limited entered into March 27, 2023 (filed as Exhibit 10.40 to the Annual</w:t>
            </w: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180" w:type="dxa"/>
            <w:vAlign w:val="bottom"/>
          </w:tcPr>
          <w:p>
            <w:pPr>
              <w:ind w:left="500"/>
              <w:spacing w:after="0" w:line="156" w:lineRule="exact"/>
              <w:rPr>
                <w:sz w:val="20"/>
                <w:szCs w:val="20"/>
                <w:color w:val="auto"/>
              </w:rPr>
            </w:pPr>
            <w:r>
              <w:rPr>
                <w:rFonts w:ascii="Times New Roman" w:cs="Times New Roman" w:eastAsia="Times New Roman" w:hAnsi="Times New Roman"/>
                <w:sz w:val="14"/>
                <w:szCs w:val="14"/>
                <w:color w:val="auto"/>
              </w:rPr>
              <w:t>Report on Form 10-K of the Company, as filed on March 5, 2024, and incorporated by reference herein).</w:t>
            </w:r>
          </w:p>
        </w:tc>
      </w:tr>
      <w:tr>
        <w:trPr>
          <w:trHeight w:val="153"/>
        </w:trPr>
        <w:tc>
          <w:tcPr>
            <w:tcW w:w="20" w:type="dxa"/>
            <w:vAlign w:val="bottom"/>
          </w:tcPr>
          <w:p>
            <w:pPr>
              <w:spacing w:after="0"/>
              <w:rPr>
                <w:sz w:val="13"/>
                <w:szCs w:val="13"/>
                <w:color w:val="auto"/>
              </w:rPr>
            </w:pPr>
          </w:p>
        </w:tc>
        <w:tc>
          <w:tcPr>
            <w:tcW w:w="1080" w:type="dxa"/>
            <w:vAlign w:val="bottom"/>
            <w:gridSpan w:val="4"/>
          </w:tcPr>
          <w:p>
            <w:pPr>
              <w:spacing w:after="0" w:line="153" w:lineRule="exact"/>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10.41</w:t>
              </w:r>
              <w:r>
                <w:rPr>
                  <w:rFonts w:ascii="Times New Roman" w:cs="Times New Roman" w:eastAsia="Times New Roman" w:hAnsi="Times New Roman"/>
                  <w:sz w:val="14"/>
                  <w:szCs w:val="14"/>
                  <w:color w:val="0000FF"/>
                  <w:highlight w:val="white"/>
                </w:rPr>
                <w:t>†</w:t>
              </w:r>
            </w:hyperlink>
          </w:p>
        </w:tc>
        <w:tc>
          <w:tcPr>
            <w:tcW w:w="10180" w:type="dxa"/>
            <w:vAlign w:val="bottom"/>
          </w:tcPr>
          <w:p>
            <w:pPr>
              <w:ind w:left="500"/>
              <w:spacing w:after="0" w:line="153" w:lineRule="exact"/>
              <w:rPr>
                <w:sz w:val="20"/>
                <w:szCs w:val="20"/>
                <w:color w:val="auto"/>
              </w:rPr>
            </w:pPr>
            <w:r>
              <w:rPr>
                <w:rFonts w:ascii="Times New Roman" w:cs="Times New Roman" w:eastAsia="Times New Roman" w:hAnsi="Times New Roman"/>
                <w:sz w:val="14"/>
                <w:szCs w:val="14"/>
                <w:color w:val="auto"/>
              </w:rPr>
              <w:t>Purchase and Sale Agreement by and between Aquestive Therapeutics, Inc. and RTW Investments, LP, dated as of August 13, 2025 (filed as Exhibit 10.1 to the Quarterly</w:t>
            </w: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10180" w:type="dxa"/>
            <w:vAlign w:val="bottom"/>
          </w:tcPr>
          <w:p>
            <w:pPr>
              <w:ind w:left="500"/>
              <w:spacing w:after="0" w:line="156" w:lineRule="exact"/>
              <w:rPr>
                <w:sz w:val="20"/>
                <w:szCs w:val="20"/>
                <w:color w:val="auto"/>
              </w:rPr>
            </w:pPr>
            <w:r>
              <w:rPr>
                <w:rFonts w:ascii="Times New Roman" w:cs="Times New Roman" w:eastAsia="Times New Roman" w:hAnsi="Times New Roman"/>
                <w:sz w:val="14"/>
                <w:szCs w:val="14"/>
                <w:color w:val="auto"/>
              </w:rPr>
              <w:t>Report on Form 10-Q of the Company, as filed on November 5, 2025, and incorporated by reference herein).</w:t>
            </w:r>
          </w:p>
        </w:tc>
      </w:tr>
      <w:tr>
        <w:trPr>
          <w:trHeight w:val="153"/>
        </w:trPr>
        <w:tc>
          <w:tcPr>
            <w:tcW w:w="400" w:type="dxa"/>
            <w:vAlign w:val="bottom"/>
            <w:gridSpan w:val="4"/>
          </w:tcPr>
          <w:p>
            <w:pPr>
              <w:ind w:left="20"/>
              <w:spacing w:after="0" w:line="153" w:lineRule="exact"/>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42</w:t>
              </w:r>
            </w:hyperlink>
          </w:p>
        </w:tc>
        <w:tc>
          <w:tcPr>
            <w:tcW w:w="700" w:type="dxa"/>
            <w:vAlign w:val="bottom"/>
          </w:tcPr>
          <w:p>
            <w:pPr>
              <w:spacing w:after="0"/>
              <w:rPr>
                <w:sz w:val="13"/>
                <w:szCs w:val="13"/>
                <w:color w:val="auto"/>
              </w:rPr>
            </w:pPr>
          </w:p>
        </w:tc>
        <w:tc>
          <w:tcPr>
            <w:tcW w:w="10180" w:type="dxa"/>
            <w:vAlign w:val="bottom"/>
          </w:tcPr>
          <w:p>
            <w:pPr>
              <w:ind w:left="520"/>
              <w:spacing w:after="0" w:line="153" w:lineRule="exact"/>
              <w:rPr>
                <w:sz w:val="20"/>
                <w:szCs w:val="20"/>
                <w:color w:val="auto"/>
              </w:rPr>
            </w:pPr>
            <w:r>
              <w:rPr>
                <w:rFonts w:ascii="Times New Roman" w:cs="Times New Roman" w:eastAsia="Times New Roman" w:hAnsi="Times New Roman"/>
                <w:sz w:val="14"/>
                <w:szCs w:val="14"/>
                <w:color w:val="auto"/>
              </w:rPr>
              <w:t>Form of Warrant (filed as Exhibit 4.1 to the Current Report on Form 8-K of the Company, as filed on March 4, 2026, and incorporated by reference herein).</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080" w:type="dxa"/>
            <w:vAlign w:val="bottom"/>
            <w:gridSpan w:val="4"/>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10.43</w:t>
              </w:r>
              <w:r>
                <w:rPr>
                  <w:rFonts w:ascii="Times New Roman" w:cs="Times New Roman" w:eastAsia="Times New Roman" w:hAnsi="Times New Roman"/>
                  <w:sz w:val="14"/>
                  <w:szCs w:val="14"/>
                  <w:color w:val="0000FF"/>
                  <w:highlight w:val="white"/>
                </w:rPr>
                <w:t>†</w:t>
              </w:r>
            </w:hyperlink>
          </w:p>
        </w:tc>
        <w:tc>
          <w:tcPr>
            <w:tcW w:w="101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Amendment No. 1 to the Purchase and Sale Agreement, dated August 13, 2025, by and between the Company and funds managed by RTW Investments, LP, dated March</w:t>
            </w: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10180" w:type="dxa"/>
            <w:vAlign w:val="bottom"/>
          </w:tcPr>
          <w:p>
            <w:pPr>
              <w:ind w:left="520"/>
              <w:spacing w:after="0" w:line="156" w:lineRule="exact"/>
              <w:rPr>
                <w:sz w:val="20"/>
                <w:szCs w:val="20"/>
                <w:color w:val="auto"/>
              </w:rPr>
            </w:pPr>
            <w:r>
              <w:rPr>
                <w:rFonts w:ascii="Times New Roman" w:cs="Times New Roman" w:eastAsia="Times New Roman" w:hAnsi="Times New Roman"/>
                <w:sz w:val="14"/>
                <w:szCs w:val="14"/>
                <w:color w:val="auto"/>
              </w:rPr>
              <w:t>3, 2026 (filed as Exhibit 10.1 to the Current Report on Form 8-K of the Company, as filed on March 4, 2026, and incorporated by reference herein).</w:t>
            </w:r>
          </w:p>
        </w:tc>
      </w:tr>
      <w:tr>
        <w:trPr>
          <w:trHeight w:val="153"/>
        </w:trPr>
        <w:tc>
          <w:tcPr>
            <w:tcW w:w="400" w:type="dxa"/>
            <w:vAlign w:val="bottom"/>
            <w:gridSpan w:val="4"/>
          </w:tcPr>
          <w:p>
            <w:pPr>
              <w:ind w:left="20"/>
              <w:spacing w:after="0" w:line="153" w:lineRule="exact"/>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44</w:t>
              </w:r>
            </w:hyperlink>
          </w:p>
        </w:tc>
        <w:tc>
          <w:tcPr>
            <w:tcW w:w="700" w:type="dxa"/>
            <w:vAlign w:val="bottom"/>
          </w:tcPr>
          <w:p>
            <w:pPr>
              <w:spacing w:after="0"/>
              <w:rPr>
                <w:sz w:val="13"/>
                <w:szCs w:val="13"/>
                <w:color w:val="auto"/>
              </w:rPr>
            </w:pPr>
          </w:p>
        </w:tc>
        <w:tc>
          <w:tcPr>
            <w:tcW w:w="10180" w:type="dxa"/>
            <w:vAlign w:val="bottom"/>
          </w:tcPr>
          <w:p>
            <w:pPr>
              <w:ind w:left="520"/>
              <w:spacing w:after="0" w:line="153" w:lineRule="exact"/>
              <w:rPr>
                <w:sz w:val="20"/>
                <w:szCs w:val="20"/>
                <w:color w:val="auto"/>
              </w:rPr>
            </w:pPr>
            <w:r>
              <w:rPr>
                <w:rFonts w:ascii="Times New Roman" w:cs="Times New Roman" w:eastAsia="Times New Roman" w:hAnsi="Times New Roman"/>
                <w:sz w:val="14"/>
                <w:szCs w:val="14"/>
                <w:color w:val="auto"/>
              </w:rPr>
              <w:t>Warrant Issuance Agreement, by and between the Company and funds managed by RTW Investments, LP, dated March 3, 2026 (filed as Exhibit 10.2 to the Current</w:t>
            </w: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180" w:type="dxa"/>
            <w:vAlign w:val="bottom"/>
          </w:tcPr>
          <w:p>
            <w:pPr>
              <w:ind w:left="520"/>
              <w:spacing w:after="0" w:line="156" w:lineRule="exact"/>
              <w:rPr>
                <w:sz w:val="20"/>
                <w:szCs w:val="20"/>
                <w:color w:val="auto"/>
              </w:rPr>
            </w:pPr>
            <w:r>
              <w:rPr>
                <w:rFonts w:ascii="Times New Roman" w:cs="Times New Roman" w:eastAsia="Times New Roman" w:hAnsi="Times New Roman"/>
                <w:sz w:val="14"/>
                <w:szCs w:val="14"/>
                <w:color w:val="auto"/>
              </w:rPr>
              <w:t>Report on Form 8-K of the Company, as filed on March 4, 2026, and incorporated by reference herein).</w:t>
            </w:r>
          </w:p>
        </w:tc>
      </w:tr>
      <w:tr>
        <w:trPr>
          <w:trHeight w:val="153"/>
        </w:trPr>
        <w:tc>
          <w:tcPr>
            <w:tcW w:w="400" w:type="dxa"/>
            <w:vAlign w:val="bottom"/>
            <w:gridSpan w:val="4"/>
          </w:tcPr>
          <w:p>
            <w:pPr>
              <w:ind w:left="20"/>
              <w:spacing w:after="0" w:line="153" w:lineRule="exact"/>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45</w:t>
              </w:r>
            </w:hyperlink>
          </w:p>
        </w:tc>
        <w:tc>
          <w:tcPr>
            <w:tcW w:w="700" w:type="dxa"/>
            <w:vAlign w:val="bottom"/>
          </w:tcPr>
          <w:p>
            <w:pPr>
              <w:spacing w:after="0"/>
              <w:rPr>
                <w:sz w:val="13"/>
                <w:szCs w:val="13"/>
                <w:color w:val="auto"/>
              </w:rPr>
            </w:pPr>
          </w:p>
        </w:tc>
        <w:tc>
          <w:tcPr>
            <w:tcW w:w="10180" w:type="dxa"/>
            <w:vAlign w:val="bottom"/>
          </w:tcPr>
          <w:p>
            <w:pPr>
              <w:ind w:left="520"/>
              <w:spacing w:after="0" w:line="153" w:lineRule="exact"/>
              <w:rPr>
                <w:sz w:val="20"/>
                <w:szCs w:val="20"/>
                <w:color w:val="auto"/>
              </w:rPr>
            </w:pPr>
            <w:r>
              <w:rPr>
                <w:rFonts w:ascii="Times New Roman" w:cs="Times New Roman" w:eastAsia="Times New Roman" w:hAnsi="Times New Roman"/>
                <w:sz w:val="14"/>
                <w:szCs w:val="14"/>
                <w:color w:val="auto"/>
              </w:rPr>
              <w:t>Share Purchase Commitment Agreement, by and between the Company and the parties thereto, dated March 3, 2026 (filed as Exhibit 10.3 to the Current Report on Form</w:t>
            </w: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180" w:type="dxa"/>
            <w:vAlign w:val="bottom"/>
          </w:tcPr>
          <w:p>
            <w:pPr>
              <w:ind w:left="520"/>
              <w:spacing w:after="0" w:line="156" w:lineRule="exact"/>
              <w:rPr>
                <w:sz w:val="20"/>
                <w:szCs w:val="20"/>
                <w:color w:val="auto"/>
              </w:rPr>
            </w:pPr>
            <w:r>
              <w:rPr>
                <w:rFonts w:ascii="Times New Roman" w:cs="Times New Roman" w:eastAsia="Times New Roman" w:hAnsi="Times New Roman"/>
                <w:sz w:val="14"/>
                <w:szCs w:val="14"/>
                <w:color w:val="auto"/>
              </w:rPr>
              <w:t>8-K of the Company, as filed on March 4, 2026, and incorporated by reference herein).</w:t>
            </w:r>
          </w:p>
        </w:tc>
      </w:tr>
      <w:tr>
        <w:trPr>
          <w:trHeight w:val="153"/>
        </w:trPr>
        <w:tc>
          <w:tcPr>
            <w:tcW w:w="26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0000FF"/>
                <w:w w:val="81"/>
              </w:rPr>
              <w:t>19.</w:t>
            </w:r>
            <w:r>
              <w:rPr>
                <w:rFonts w:ascii="Times New Roman" w:cs="Times New Roman" w:eastAsia="Times New Roman" w:hAnsi="Times New Roman"/>
                <w:sz w:val="14"/>
                <w:szCs w:val="14"/>
                <w:u w:val="single" w:color="auto"/>
                <w:color w:val="0000FF"/>
                <w:w w:val="81"/>
              </w:rPr>
              <w:t>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180" w:type="dxa"/>
            <w:vAlign w:val="bottom"/>
          </w:tcPr>
          <w:p>
            <w:pPr>
              <w:ind w:left="500"/>
              <w:spacing w:after="0" w:line="153" w:lineRule="exact"/>
              <w:rPr>
                <w:sz w:val="20"/>
                <w:szCs w:val="20"/>
                <w:color w:val="auto"/>
              </w:rPr>
            </w:pPr>
            <w:r>
              <w:rPr>
                <w:rFonts w:ascii="Times New Roman" w:cs="Times New Roman" w:eastAsia="Times New Roman" w:hAnsi="Times New Roman"/>
                <w:sz w:val="14"/>
                <w:szCs w:val="14"/>
                <w:color w:val="auto"/>
              </w:rPr>
              <w:t>Insider Trading Policy (filed herewith).</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r>
      <w:tr>
        <w:trPr>
          <w:trHeight w:val="160"/>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1"/>
              </w:rPr>
              <w:t>23.</w:t>
            </w:r>
            <w:r>
              <w:rPr>
                <w:rFonts w:ascii="Times New Roman" w:cs="Times New Roman" w:eastAsia="Times New Roman" w:hAnsi="Times New Roman"/>
                <w:sz w:val="14"/>
                <w:szCs w:val="14"/>
                <w:u w:val="single" w:color="auto"/>
                <w:color w:val="0000FF"/>
                <w:w w:val="81"/>
              </w:rPr>
              <w:t>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1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Consent of KPMG LLP, Independent Registered Public Accounting Firm (filed herewith).</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r>
      <w:tr>
        <w:trPr>
          <w:trHeight w:val="160"/>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1"/>
              </w:rPr>
              <w:t>31.</w:t>
            </w:r>
            <w:r>
              <w:rPr>
                <w:rFonts w:ascii="Times New Roman" w:cs="Times New Roman" w:eastAsia="Times New Roman" w:hAnsi="Times New Roman"/>
                <w:sz w:val="14"/>
                <w:szCs w:val="14"/>
                <w:u w:val="single" w:color="auto"/>
                <w:color w:val="0000FF"/>
                <w:w w:val="81"/>
              </w:rPr>
              <w:t>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1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Certification of Principal Executive Officer pursuant to Rules 13a-14(a) and 15d-14(a) under the Securities Exchange Act of 1934, as adopted pursuant to Section 302 of</w:t>
            </w: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180" w:type="dxa"/>
            <w:vAlign w:val="bottom"/>
          </w:tcPr>
          <w:p>
            <w:pPr>
              <w:ind w:left="500"/>
              <w:spacing w:after="0" w:line="156" w:lineRule="exact"/>
              <w:rPr>
                <w:sz w:val="20"/>
                <w:szCs w:val="20"/>
                <w:color w:val="auto"/>
              </w:rPr>
            </w:pPr>
            <w:r>
              <w:rPr>
                <w:rFonts w:ascii="Times New Roman" w:cs="Times New Roman" w:eastAsia="Times New Roman" w:hAnsi="Times New Roman"/>
                <w:sz w:val="14"/>
                <w:szCs w:val="14"/>
                <w:color w:val="auto"/>
              </w:rPr>
              <w:t>the Sarbanes-Oxley Act of 2002 (filed herewith).</w:t>
            </w:r>
          </w:p>
        </w:tc>
      </w:tr>
      <w:tr>
        <w:trPr>
          <w:trHeight w:val="153"/>
        </w:trPr>
        <w:tc>
          <w:tcPr>
            <w:tcW w:w="26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0000FF"/>
                <w:w w:val="81"/>
              </w:rPr>
              <w:t>31.</w:t>
            </w:r>
            <w:r>
              <w:rPr>
                <w:rFonts w:ascii="Times New Roman" w:cs="Times New Roman" w:eastAsia="Times New Roman" w:hAnsi="Times New Roman"/>
                <w:sz w:val="14"/>
                <w:szCs w:val="14"/>
                <w:u w:val="single" w:color="auto"/>
                <w:color w:val="0000FF"/>
                <w:w w:val="81"/>
              </w:rPr>
              <w:t>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180" w:type="dxa"/>
            <w:vAlign w:val="bottom"/>
          </w:tcPr>
          <w:p>
            <w:pPr>
              <w:ind w:left="500"/>
              <w:spacing w:after="0" w:line="153" w:lineRule="exact"/>
              <w:rPr>
                <w:sz w:val="20"/>
                <w:szCs w:val="20"/>
                <w:color w:val="auto"/>
              </w:rPr>
            </w:pPr>
            <w:r>
              <w:rPr>
                <w:rFonts w:ascii="Times New Roman" w:cs="Times New Roman" w:eastAsia="Times New Roman" w:hAnsi="Times New Roman"/>
                <w:sz w:val="14"/>
                <w:szCs w:val="14"/>
                <w:color w:val="auto"/>
              </w:rPr>
              <w:t>Certification of Principal Financial Officer pursuant to Rules 13a-14(a) and 15d-14(a) under the Securities Exchange Act of 1934, as adopted pursuant to Section 302 of</w:t>
            </w: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180" w:type="dxa"/>
            <w:vAlign w:val="bottom"/>
          </w:tcPr>
          <w:p>
            <w:pPr>
              <w:ind w:left="500"/>
              <w:spacing w:after="0" w:line="156" w:lineRule="exact"/>
              <w:rPr>
                <w:sz w:val="20"/>
                <w:szCs w:val="20"/>
                <w:color w:val="auto"/>
              </w:rPr>
            </w:pPr>
            <w:r>
              <w:rPr>
                <w:rFonts w:ascii="Times New Roman" w:cs="Times New Roman" w:eastAsia="Times New Roman" w:hAnsi="Times New Roman"/>
                <w:sz w:val="14"/>
                <w:szCs w:val="14"/>
                <w:color w:val="auto"/>
              </w:rPr>
              <w:t>the Sarbanes-Oxley Act of 2002 (filed herewith).</w:t>
            </w:r>
          </w:p>
        </w:tc>
      </w:tr>
      <w:tr>
        <w:trPr>
          <w:trHeight w:val="153"/>
        </w:trPr>
        <w:tc>
          <w:tcPr>
            <w:tcW w:w="400" w:type="dxa"/>
            <w:vAlign w:val="bottom"/>
            <w:gridSpan w:val="4"/>
          </w:tcPr>
          <w:p>
            <w:pPr>
              <w:ind w:left="20"/>
              <w:spacing w:after="0" w:line="153" w:lineRule="exact"/>
              <w:rPr>
                <w:sz w:val="20"/>
                <w:szCs w:val="20"/>
                <w:color w:val="auto"/>
              </w:rPr>
            </w:pPr>
            <w:r>
              <w:rPr>
                <w:rFonts w:ascii="Times New Roman" w:cs="Times New Roman" w:eastAsia="Times New Roman" w:hAnsi="Times New Roman"/>
                <w:sz w:val="14"/>
                <w:szCs w:val="14"/>
                <w:color w:val="0000FF"/>
              </w:rPr>
              <w:t>32.</w:t>
            </w:r>
            <w:r>
              <w:rPr>
                <w:rFonts w:ascii="Times New Roman" w:cs="Times New Roman" w:eastAsia="Times New Roman" w:hAnsi="Times New Roman"/>
                <w:sz w:val="14"/>
                <w:szCs w:val="14"/>
                <w:u w:val="single" w:color="auto"/>
                <w:color w:val="0000FF"/>
              </w:rPr>
              <w:t>1*</w:t>
            </w:r>
          </w:p>
        </w:tc>
        <w:tc>
          <w:tcPr>
            <w:tcW w:w="700" w:type="dxa"/>
            <w:vAlign w:val="bottom"/>
          </w:tcPr>
          <w:p>
            <w:pPr>
              <w:spacing w:after="0"/>
              <w:rPr>
                <w:sz w:val="13"/>
                <w:szCs w:val="13"/>
                <w:color w:val="auto"/>
              </w:rPr>
            </w:pPr>
          </w:p>
        </w:tc>
        <w:tc>
          <w:tcPr>
            <w:tcW w:w="10180" w:type="dxa"/>
            <w:vAlign w:val="bottom"/>
          </w:tcPr>
          <w:p>
            <w:pPr>
              <w:ind w:left="500"/>
              <w:spacing w:after="0" w:line="153" w:lineRule="exact"/>
              <w:rPr>
                <w:sz w:val="20"/>
                <w:szCs w:val="20"/>
                <w:color w:val="auto"/>
              </w:rPr>
            </w:pPr>
            <w:r>
              <w:rPr>
                <w:rFonts w:ascii="Times New Roman" w:cs="Times New Roman" w:eastAsia="Times New Roman" w:hAnsi="Times New Roman"/>
                <w:sz w:val="14"/>
                <w:szCs w:val="14"/>
                <w:color w:val="auto"/>
              </w:rPr>
              <w:t>Certification of Principal Executive Officer Pursuant to 18 U.S.C. Section 1350, as adopted pursuant to Section 906 of the Sarbanes-Oxley Act of 2002 (furnished</w:t>
            </w: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180" w:type="dxa"/>
            <w:vAlign w:val="bottom"/>
          </w:tcPr>
          <w:p>
            <w:pPr>
              <w:ind w:left="500"/>
              <w:spacing w:after="0" w:line="156" w:lineRule="exact"/>
              <w:rPr>
                <w:sz w:val="20"/>
                <w:szCs w:val="20"/>
                <w:color w:val="auto"/>
              </w:rPr>
            </w:pPr>
            <w:r>
              <w:rPr>
                <w:rFonts w:ascii="Times New Roman" w:cs="Times New Roman" w:eastAsia="Times New Roman" w:hAnsi="Times New Roman"/>
                <w:sz w:val="14"/>
                <w:szCs w:val="14"/>
                <w:color w:val="auto"/>
              </w:rPr>
              <w:t>herewith).</w:t>
            </w:r>
          </w:p>
        </w:tc>
      </w:tr>
      <w:tr>
        <w:trPr>
          <w:trHeight w:val="153"/>
        </w:trPr>
        <w:tc>
          <w:tcPr>
            <w:tcW w:w="400" w:type="dxa"/>
            <w:vAlign w:val="bottom"/>
            <w:gridSpan w:val="4"/>
          </w:tcPr>
          <w:p>
            <w:pPr>
              <w:ind w:left="20"/>
              <w:spacing w:after="0" w:line="153" w:lineRule="exact"/>
              <w:rPr>
                <w:sz w:val="20"/>
                <w:szCs w:val="20"/>
                <w:color w:val="auto"/>
              </w:rPr>
            </w:pPr>
            <w:r>
              <w:rPr>
                <w:rFonts w:ascii="Times New Roman" w:cs="Times New Roman" w:eastAsia="Times New Roman" w:hAnsi="Times New Roman"/>
                <w:sz w:val="14"/>
                <w:szCs w:val="14"/>
                <w:color w:val="0000FF"/>
              </w:rPr>
              <w:t>32.</w:t>
            </w:r>
            <w:r>
              <w:rPr>
                <w:rFonts w:ascii="Times New Roman" w:cs="Times New Roman" w:eastAsia="Times New Roman" w:hAnsi="Times New Roman"/>
                <w:sz w:val="14"/>
                <w:szCs w:val="14"/>
                <w:u w:val="single" w:color="auto"/>
                <w:color w:val="0000FF"/>
              </w:rPr>
              <w:t>2*</w:t>
            </w:r>
          </w:p>
        </w:tc>
        <w:tc>
          <w:tcPr>
            <w:tcW w:w="700" w:type="dxa"/>
            <w:vAlign w:val="bottom"/>
          </w:tcPr>
          <w:p>
            <w:pPr>
              <w:spacing w:after="0"/>
              <w:rPr>
                <w:sz w:val="13"/>
                <w:szCs w:val="13"/>
                <w:color w:val="auto"/>
              </w:rPr>
            </w:pPr>
          </w:p>
        </w:tc>
        <w:tc>
          <w:tcPr>
            <w:tcW w:w="10180" w:type="dxa"/>
            <w:vAlign w:val="bottom"/>
          </w:tcPr>
          <w:p>
            <w:pPr>
              <w:ind w:left="500"/>
              <w:spacing w:after="0" w:line="153" w:lineRule="exact"/>
              <w:rPr>
                <w:sz w:val="20"/>
                <w:szCs w:val="20"/>
                <w:color w:val="auto"/>
              </w:rPr>
            </w:pPr>
            <w:r>
              <w:rPr>
                <w:rFonts w:ascii="Times New Roman" w:cs="Times New Roman" w:eastAsia="Times New Roman" w:hAnsi="Times New Roman"/>
                <w:sz w:val="14"/>
                <w:szCs w:val="14"/>
                <w:color w:val="auto"/>
              </w:rPr>
              <w:t>Certification of Principal Financial Officer Pursuant to 18 U.S.C. Section 1350, as adopted pursuant to Section 906 of the Sarbanes-Oxley Act of 2002 (furnished</w:t>
            </w: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180" w:type="dxa"/>
            <w:vAlign w:val="bottom"/>
          </w:tcPr>
          <w:p>
            <w:pPr>
              <w:ind w:left="500"/>
              <w:spacing w:after="0" w:line="156" w:lineRule="exact"/>
              <w:rPr>
                <w:sz w:val="20"/>
                <w:szCs w:val="20"/>
                <w:color w:val="auto"/>
              </w:rPr>
            </w:pPr>
            <w:r>
              <w:rPr>
                <w:rFonts w:ascii="Times New Roman" w:cs="Times New Roman" w:eastAsia="Times New Roman" w:hAnsi="Times New Roman"/>
                <w:sz w:val="14"/>
                <w:szCs w:val="14"/>
                <w:color w:val="auto"/>
              </w:rPr>
              <w:t>herewith).</w:t>
            </w:r>
          </w:p>
        </w:tc>
      </w:tr>
      <w:tr>
        <w:trPr>
          <w:trHeight w:val="153"/>
        </w:trPr>
        <w:tc>
          <w:tcPr>
            <w:tcW w:w="260" w:type="dxa"/>
            <w:vAlign w:val="bottom"/>
            <w:gridSpan w:val="2"/>
          </w:tcPr>
          <w:p>
            <w:pPr>
              <w:ind w:left="20"/>
              <w:spacing w:after="0" w:line="153" w:lineRule="exact"/>
              <w:rPr>
                <w:rFonts w:ascii="Times New Roman" w:cs="Times New Roman" w:eastAsia="Times New Roman" w:hAnsi="Times New Roman"/>
                <w:sz w:val="14"/>
                <w:szCs w:val="14"/>
                <w:color w:val="0000FF"/>
                <w:w w:val="94"/>
              </w:rPr>
            </w:pPr>
            <w:hyperlink r:id="rId147">
              <w:r>
                <w:rPr>
                  <w:rFonts w:ascii="Times New Roman" w:cs="Times New Roman" w:eastAsia="Times New Roman" w:hAnsi="Times New Roman"/>
                  <w:sz w:val="14"/>
                  <w:szCs w:val="14"/>
                  <w:color w:val="0000FF"/>
                  <w:w w:val="94"/>
                </w:rPr>
                <w:t>97*</w:t>
              </w:r>
            </w:hyperlink>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180" w:type="dxa"/>
            <w:vAlign w:val="bottom"/>
          </w:tcPr>
          <w:p>
            <w:pPr>
              <w:ind w:left="500"/>
              <w:spacing w:after="0" w:line="153" w:lineRule="exact"/>
              <w:rPr>
                <w:sz w:val="20"/>
                <w:szCs w:val="20"/>
                <w:color w:val="auto"/>
              </w:rPr>
            </w:pPr>
            <w:r>
              <w:rPr>
                <w:rFonts w:ascii="Times New Roman" w:cs="Times New Roman" w:eastAsia="Times New Roman" w:hAnsi="Times New Roman"/>
                <w:sz w:val="14"/>
                <w:szCs w:val="14"/>
                <w:color w:val="auto"/>
              </w:rPr>
              <w:t>Incentive Compensation Recovery Policy (filed as Exhibit 97 to the Annual Report on Form 10-K of the Company, as filed on March 5, 2024 and incorporated by</w:t>
            </w: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180" w:type="dxa"/>
            <w:vAlign w:val="bottom"/>
          </w:tcPr>
          <w:p>
            <w:pPr>
              <w:ind w:left="500"/>
              <w:spacing w:after="0" w:line="156" w:lineRule="exact"/>
              <w:rPr>
                <w:sz w:val="20"/>
                <w:szCs w:val="20"/>
                <w:color w:val="auto"/>
              </w:rPr>
            </w:pPr>
            <w:r>
              <w:rPr>
                <w:rFonts w:ascii="Times New Roman" w:cs="Times New Roman" w:eastAsia="Times New Roman" w:hAnsi="Times New Roman"/>
                <w:sz w:val="14"/>
                <w:szCs w:val="14"/>
                <w:color w:val="auto"/>
              </w:rPr>
              <w:t>reference herein).</w:t>
            </w:r>
          </w:p>
        </w:tc>
      </w:tr>
      <w:tr>
        <w:trPr>
          <w:trHeight w:val="180"/>
        </w:trPr>
        <w:tc>
          <w:tcPr>
            <w:tcW w:w="20" w:type="dxa"/>
            <w:vAlign w:val="bottom"/>
          </w:tcPr>
          <w:p>
            <w:pPr>
              <w:spacing w:after="0"/>
              <w:rPr>
                <w:sz w:val="15"/>
                <w:szCs w:val="15"/>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101.INS*</w:t>
            </w:r>
          </w:p>
        </w:tc>
        <w:tc>
          <w:tcPr>
            <w:tcW w:w="101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Inline XBRL Instance Document.</w:t>
            </w:r>
          </w:p>
        </w:tc>
      </w:tr>
      <w:tr>
        <w:trPr>
          <w:trHeight w:val="180"/>
        </w:trPr>
        <w:tc>
          <w:tcPr>
            <w:tcW w:w="20" w:type="dxa"/>
            <w:vAlign w:val="bottom"/>
          </w:tcPr>
          <w:p>
            <w:pPr>
              <w:spacing w:after="0"/>
              <w:rPr>
                <w:sz w:val="15"/>
                <w:szCs w:val="15"/>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101.SCH*</w:t>
            </w:r>
          </w:p>
        </w:tc>
        <w:tc>
          <w:tcPr>
            <w:tcW w:w="101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180"/>
        </w:trPr>
        <w:tc>
          <w:tcPr>
            <w:tcW w:w="20" w:type="dxa"/>
            <w:vAlign w:val="bottom"/>
          </w:tcPr>
          <w:p>
            <w:pPr>
              <w:spacing w:after="0"/>
              <w:rPr>
                <w:sz w:val="15"/>
                <w:szCs w:val="15"/>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101.CAL*</w:t>
            </w:r>
          </w:p>
        </w:tc>
        <w:tc>
          <w:tcPr>
            <w:tcW w:w="101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184"/>
        </w:trPr>
        <w:tc>
          <w:tcPr>
            <w:tcW w:w="20" w:type="dxa"/>
            <w:vAlign w:val="bottom"/>
          </w:tcPr>
          <w:p>
            <w:pPr>
              <w:spacing w:after="0"/>
              <w:rPr>
                <w:sz w:val="16"/>
                <w:szCs w:val="16"/>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101.DEF*</w:t>
            </w:r>
          </w:p>
        </w:tc>
        <w:tc>
          <w:tcPr>
            <w:tcW w:w="101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760"/>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180" w:type="dxa"/>
            <w:vAlign w:val="bottom"/>
          </w:tcPr>
          <w:p>
            <w:pPr>
              <w:ind w:left="4480"/>
              <w:spacing w:after="0"/>
              <w:rPr>
                <w:sz w:val="20"/>
                <w:szCs w:val="20"/>
                <w:color w:val="auto"/>
              </w:rPr>
            </w:pPr>
            <w:r>
              <w:rPr>
                <w:rFonts w:ascii="Times New Roman" w:cs="Times New Roman" w:eastAsia="Times New Roman" w:hAnsi="Times New Roman"/>
                <w:sz w:val="13"/>
                <w:szCs w:val="13"/>
                <w:color w:val="auto"/>
              </w:rPr>
              <w:t>78</w:t>
            </w:r>
          </w:p>
        </w:tc>
      </w:tr>
      <w:tr>
        <w:trPr>
          <w:trHeight w:val="80"/>
        </w:trPr>
        <w:tc>
          <w:tcPr>
            <w:tcW w:w="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01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35" w:right="319" w:bottom="1440" w:gutter="0" w:footer="0" w:header="0"/>
          <w:type w:val="continuous"/>
        </w:sectPr>
      </w:pPr>
    </w:p>
    <w:bookmarkStart w:id="84" w:name="page85"/>
    <w:bookmarkEnd w:id="84"/>
    <w:p>
      <w:pPr>
        <w:ind w:left="20"/>
        <w:spacing w:after="0"/>
        <w:rPr>
          <w:sz w:val="20"/>
          <w:szCs w:val="20"/>
          <w:color w:val="auto"/>
        </w:rPr>
      </w:pPr>
      <w:r>
        <w:rPr>
          <w:rFonts w:ascii="Times New Roman" w:cs="Times New Roman" w:eastAsia="Times New Roman" w:hAnsi="Times New Roman"/>
          <w:sz w:val="14"/>
          <w:szCs w:val="14"/>
          <w:color w:val="auto"/>
        </w:rPr>
        <w:t>101.LAB*</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101.PRE*</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69" w:lineRule="exact"/>
        <w:rPr>
          <w:sz w:val="20"/>
          <w:szCs w:val="20"/>
          <w:color w:val="auto"/>
        </w:rPr>
      </w:pPr>
    </w:p>
    <w:p>
      <w:pPr>
        <w:sectPr>
          <w:pgSz w:w="11900" w:h="16838" w:orient="portrait"/>
          <w:cols w:equalWidth="0" w:num="2">
            <w:col w:w="880" w:space="720"/>
            <w:col w:w="9680"/>
          </w:cols>
          <w:pgMar w:left="300" w:top="836" w:right="319" w:bottom="1440" w:gutter="0" w:footer="0" w:header="0"/>
        </w:sectPr>
      </w:pPr>
    </w:p>
    <w:p>
      <w:pPr>
        <w:spacing w:after="0"/>
        <w:rPr>
          <w:sz w:val="20"/>
          <w:szCs w:val="20"/>
          <w:color w:val="auto"/>
        </w:rPr>
      </w:pPr>
      <w:r>
        <w:rPr>
          <w:rFonts w:ascii="Times New Roman" w:cs="Times New Roman" w:eastAsia="Times New Roman" w:hAnsi="Times New Roman"/>
          <w:sz w:val="14"/>
          <w:szCs w:val="14"/>
          <w:color w:val="auto"/>
        </w:rPr>
        <w:t>Portions of this exhibit (indicated by asterisks) have been omitted pursuant to a request for confidential treatment that has been granted by the Securities and Exchange Commission.</w:t>
      </w:r>
    </w:p>
    <w:p>
      <w:pPr>
        <w:spacing w:after="0" w:line="94" w:lineRule="exact"/>
        <w:rPr>
          <w:sz w:val="20"/>
          <w:szCs w:val="20"/>
          <w:color w:val="auto"/>
        </w:rPr>
      </w:pPr>
    </w:p>
    <w:p>
      <w:pPr>
        <w:ind w:left="260" w:hanging="255"/>
        <w:spacing w:after="0" w:line="287" w:lineRule="auto"/>
        <w:tabs>
          <w:tab w:leader="none" w:pos="25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 and not deemed to be “filed” for purposes of Section 18 of the Exchange Act and shall not be deemed to be incorporated by reference to any filing under the Securities Act of 1933, as amended, or the Exchange Act (whether made before or after the date of the Form 10-K), irrespective of any general incorporation language contained in such filing.</w:t>
      </w:r>
    </w:p>
    <w:p>
      <w:pPr>
        <w:spacing w:after="0" w:line="39"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Indicates a management contract or compensatory plan.</w:t>
      </w:r>
    </w:p>
    <w:p>
      <w:pPr>
        <w:spacing w:after="0" w:line="94"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Certain portions of this exhibit have been omitted because the omitted information is (i) not material and (ii) would likely cause competitive harm to the Company if publicly disclosed.</w:t>
      </w:r>
    </w:p>
    <w:p>
      <w:pPr>
        <w:spacing w:after="0" w:line="28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16.</w:t>
        <w:tab/>
        <w:t>Form 10-K Summary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36" w:right="319" w:bottom="1440" w:gutter="0" w:footer="0" w:header="0"/>
          <w:type w:val="continuous"/>
        </w:sectPr>
      </w:pPr>
    </w:p>
    <w:bookmarkStart w:id="85" w:name="page86"/>
    <w:bookmarkEnd w:id="85"/>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2"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Section 13 or 15(d) of the Securities Exchange Act of 1934, the registrant has duly caused this report to be signed on its behalf by the undersigned, thereunto duly authorized.</w:t>
      </w:r>
    </w:p>
    <w:p>
      <w:pPr>
        <w:spacing w:after="0" w:line="25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b w:val="1"/>
          <w:bCs w:val="1"/>
          <w:color w:val="auto"/>
        </w:rPr>
        <w:t>AQUESTIVE THERAPEUTICS, INC.</w:t>
      </w:r>
    </w:p>
    <w:p>
      <w:pPr>
        <w:spacing w:after="0" w:line="202" w:lineRule="exact"/>
        <w:rPr>
          <w:sz w:val="20"/>
          <w:szCs w:val="20"/>
          <w:color w:val="auto"/>
        </w:rPr>
      </w:pPr>
    </w:p>
    <w:p>
      <w:pPr>
        <w:ind w:left="20"/>
        <w:spacing w:after="0"/>
        <w:tabs>
          <w:tab w:leader="none" w:pos="5480" w:val="left"/>
          <w:tab w:leader="none" w:pos="8120" w:val="left"/>
        </w:tabs>
        <w:rPr>
          <w:sz w:val="20"/>
          <w:szCs w:val="20"/>
          <w:color w:val="auto"/>
        </w:rPr>
      </w:pPr>
      <w:r>
        <w:rPr>
          <w:rFonts w:ascii="Times New Roman" w:cs="Times New Roman" w:eastAsia="Times New Roman" w:hAnsi="Times New Roman"/>
          <w:sz w:val="14"/>
          <w:szCs w:val="14"/>
          <w:color w:val="auto"/>
        </w:rPr>
        <w:t>March 4,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Daniel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14605</wp:posOffset>
            </wp:positionV>
            <wp:extent cx="3314700" cy="133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1">
                      <a:extLst>
                        <a:ext uri="{28A0092B-C50C-407E-A947-70E740481C1C}"/>
                      </a:extLst>
                    </a:blip>
                    <a:srcRect/>
                    <a:stretch>
                      <a:fillRect/>
                    </a:stretch>
                  </pic:blipFill>
                  <pic:spPr bwMode="auto">
                    <a:xfrm>
                      <a:off x="0" y="0"/>
                      <a:ext cx="3314700" cy="13335"/>
                    </a:xfrm>
                    <a:prstGeom prst="rect">
                      <a:avLst/>
                    </a:prstGeom>
                    <a:noFill/>
                  </pic:spPr>
                </pic:pic>
              </a:graphicData>
            </a:graphic>
          </wp:anchor>
        </w:drawing>
      </w:r>
    </w:p>
    <w:p>
      <w:pPr>
        <w:spacing w:after="0" w:line="1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4"/>
          <w:szCs w:val="14"/>
          <w:b w:val="1"/>
          <w:bCs w:val="1"/>
          <w:color w:val="auto"/>
        </w:rPr>
        <w:t>Daniel Barber</w:t>
      </w:r>
    </w:p>
    <w:p>
      <w:pPr>
        <w:spacing w:after="0" w:line="25"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4"/>
          <w:szCs w:val="14"/>
          <w:b w:val="1"/>
          <w:bCs w:val="1"/>
          <w:i w:val="1"/>
          <w:iCs w:val="1"/>
          <w:color w:val="auto"/>
        </w:rPr>
        <w:t>President and Chief Executive Officer</w:t>
      </w:r>
    </w:p>
    <w:p>
      <w:pPr>
        <w:spacing w:after="0" w:line="1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4"/>
          <w:szCs w:val="14"/>
          <w:b w:val="1"/>
          <w:bCs w:val="1"/>
          <w:i w:val="1"/>
          <w:iCs w:val="1"/>
          <w:color w:val="auto"/>
        </w:rPr>
        <w:t>(Principal Executive Officer)</w:t>
      </w:r>
    </w:p>
    <w:p>
      <w:pPr>
        <w:spacing w:after="0" w:line="260"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capabilities and on the dates indicated.</w:t>
      </w:r>
    </w:p>
    <w:p>
      <w:pPr>
        <w:sectPr>
          <w:pgSz w:w="11900" w:h="16838" w:orient="portrait"/>
          <w:cols w:equalWidth="0" w:num="1">
            <w:col w:w="11260"/>
          </w:cols>
          <w:pgMar w:left="300" w:top="728" w:right="339" w:bottom="1440" w:gutter="0" w:footer="0" w:header="0"/>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1549400" cy="133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2">
                      <a:extLst>
                        <a:ext uri="{28A0092B-C50C-407E-A947-70E740481C1C}"/>
                      </a:extLst>
                    </a:blip>
                    <a:srcRect/>
                    <a:stretch>
                      <a:fillRect/>
                    </a:stretch>
                  </pic:blipFill>
                  <pic:spPr bwMode="auto">
                    <a:xfrm>
                      <a:off x="0" y="0"/>
                      <a:ext cx="1549400" cy="13335"/>
                    </a:xfrm>
                    <a:prstGeom prst="rect">
                      <a:avLst/>
                    </a:prstGeom>
                    <a:noFill/>
                  </pic:spPr>
                </pic:pic>
              </a:graphicData>
            </a:graphic>
          </wp:anchor>
        </w:drawing>
      </w:r>
    </w:p>
    <w:p>
      <w:pPr>
        <w:spacing w:after="0" w:line="20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/s/ Daniel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549400" cy="133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3">
                      <a:extLst>
                        <a:ext uri="{28A0092B-C50C-407E-A947-70E740481C1C}"/>
                      </a:extLst>
                    </a:blip>
                    <a:srcRect/>
                    <a:stretch>
                      <a:fillRect/>
                    </a:stretch>
                  </pic:blipFill>
                  <pic:spPr bwMode="auto">
                    <a:xfrm>
                      <a:off x="0" y="0"/>
                      <a:ext cx="1549400" cy="13335"/>
                    </a:xfrm>
                    <a:prstGeom prst="rect">
                      <a:avLst/>
                    </a:prstGeom>
                    <a:noFill/>
                  </pic:spPr>
                </pic:pic>
              </a:graphicData>
            </a:graphic>
          </wp:anchor>
        </w:drawing>
      </w:r>
    </w:p>
    <w:p>
      <w:pPr>
        <w:spacing w:after="0" w:line="21"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Daniel Barber</w:t>
      </w:r>
    </w:p>
    <w:p>
      <w:pPr>
        <w:spacing w:after="0" w:line="20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/s/ A. Ernest Toth,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549400" cy="133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4">
                      <a:extLst>
                        <a:ext uri="{28A0092B-C50C-407E-A947-70E740481C1C}"/>
                      </a:extLst>
                    </a:blip>
                    <a:srcRect/>
                    <a:stretch>
                      <a:fillRect/>
                    </a:stretch>
                  </pic:blipFill>
                  <pic:spPr bwMode="auto">
                    <a:xfrm>
                      <a:off x="0" y="0"/>
                      <a:ext cx="1549400" cy="13335"/>
                    </a:xfrm>
                    <a:prstGeom prst="rect">
                      <a:avLst/>
                    </a:prstGeom>
                    <a:noFill/>
                  </pic:spPr>
                </pic:pic>
              </a:graphicData>
            </a:graphic>
          </wp:anchor>
        </w:drawing>
      </w:r>
    </w:p>
    <w:p>
      <w:pPr>
        <w:spacing w:after="0" w:line="21"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A. Ernest Toth, Jr.</w:t>
      </w:r>
    </w:p>
    <w:p>
      <w:pPr>
        <w:spacing w:after="0" w:line="20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/s/ Gregory B.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549400" cy="133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5">
                      <a:extLst>
                        <a:ext uri="{28A0092B-C50C-407E-A947-70E740481C1C}"/>
                      </a:extLst>
                    </a:blip>
                    <a:srcRect/>
                    <a:stretch>
                      <a:fillRect/>
                    </a:stretch>
                  </pic:blipFill>
                  <pic:spPr bwMode="auto">
                    <a:xfrm>
                      <a:off x="0" y="0"/>
                      <a:ext cx="1549400" cy="13335"/>
                    </a:xfrm>
                    <a:prstGeom prst="rect">
                      <a:avLst/>
                    </a:prstGeom>
                    <a:noFill/>
                  </pic:spPr>
                </pic:pic>
              </a:graphicData>
            </a:graphic>
          </wp:anchor>
        </w:drawing>
      </w:r>
    </w:p>
    <w:p>
      <w:pPr>
        <w:spacing w:after="0" w:line="21"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Gregory B. Brown, M.D.</w:t>
      </w:r>
    </w:p>
    <w:p>
      <w:pPr>
        <w:spacing w:after="0" w:line="20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/s/ Abigail L.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1549400" cy="133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6">
                      <a:extLst>
                        <a:ext uri="{28A0092B-C50C-407E-A947-70E740481C1C}"/>
                      </a:extLst>
                    </a:blip>
                    <a:srcRect/>
                    <a:stretch>
                      <a:fillRect/>
                    </a:stretch>
                  </pic:blipFill>
                  <pic:spPr bwMode="auto">
                    <a:xfrm>
                      <a:off x="0" y="0"/>
                      <a:ext cx="1549400" cy="13335"/>
                    </a:xfrm>
                    <a:prstGeom prst="rect">
                      <a:avLst/>
                    </a:prstGeom>
                    <a:noFill/>
                  </pic:spPr>
                </pic:pic>
              </a:graphicData>
            </a:graphic>
          </wp:anchor>
        </w:drawing>
      </w:r>
    </w:p>
    <w:p>
      <w:pPr>
        <w:spacing w:after="0" w:line="4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Abigail L. Jenkins</w:t>
      </w:r>
    </w:p>
    <w:p>
      <w:pPr>
        <w:spacing w:after="0" w:line="24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/s/ John S. Cochran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1549400" cy="133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7">
                      <a:extLst>
                        <a:ext uri="{28A0092B-C50C-407E-A947-70E740481C1C}"/>
                      </a:extLst>
                    </a:blip>
                    <a:srcRect/>
                    <a:stretch>
                      <a:fillRect/>
                    </a:stretch>
                  </pic:blipFill>
                  <pic:spPr bwMode="auto">
                    <a:xfrm>
                      <a:off x="0" y="0"/>
                      <a:ext cx="1549400" cy="13335"/>
                    </a:xfrm>
                    <a:prstGeom prst="rect">
                      <a:avLst/>
                    </a:prstGeom>
                    <a:noFill/>
                  </pic:spPr>
                </pic:pic>
              </a:graphicData>
            </a:graphic>
          </wp:anchor>
        </w:drawing>
      </w:r>
    </w:p>
    <w:p>
      <w:pPr>
        <w:spacing w:after="0" w:line="4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John S. Cochran</w:t>
      </w:r>
    </w:p>
    <w:p>
      <w:pPr>
        <w:spacing w:after="0" w:line="221"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/s/ Julie Krop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1549400" cy="133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8">
                      <a:extLst>
                        <a:ext uri="{28A0092B-C50C-407E-A947-70E740481C1C}"/>
                      </a:extLst>
                    </a:blip>
                    <a:srcRect/>
                    <a:stretch>
                      <a:fillRect/>
                    </a:stretch>
                  </pic:blipFill>
                  <pic:spPr bwMode="auto">
                    <a:xfrm>
                      <a:off x="0" y="0"/>
                      <a:ext cx="1549400" cy="13335"/>
                    </a:xfrm>
                    <a:prstGeom prst="rect">
                      <a:avLst/>
                    </a:prstGeom>
                    <a:noFill/>
                  </pic:spPr>
                </pic:pic>
              </a:graphicData>
            </a:graphic>
          </wp:anchor>
        </w:drawing>
      </w:r>
    </w:p>
    <w:p>
      <w:pPr>
        <w:spacing w:after="0" w:line="4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Julie Krop, M.D</w:t>
      </w:r>
    </w:p>
    <w:p>
      <w:pPr>
        <w:spacing w:after="0" w:line="24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/s/ Marco Taglietti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549400" cy="133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9">
                      <a:extLst>
                        <a:ext uri="{28A0092B-C50C-407E-A947-70E740481C1C}"/>
                      </a:extLst>
                    </a:blip>
                    <a:srcRect/>
                    <a:stretch>
                      <a:fillRect/>
                    </a:stretch>
                  </pic:blipFill>
                  <pic:spPr bwMode="auto">
                    <a:xfrm>
                      <a:off x="0" y="0"/>
                      <a:ext cx="1549400" cy="13335"/>
                    </a:xfrm>
                    <a:prstGeom prst="rect">
                      <a:avLst/>
                    </a:prstGeom>
                    <a:noFill/>
                  </pic:spPr>
                </pic:pic>
              </a:graphicData>
            </a:graphic>
          </wp:anchor>
        </w:drawing>
      </w:r>
    </w:p>
    <w:p>
      <w:pPr>
        <w:spacing w:after="0" w:line="21"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Marco Taglietti, M.D.</w:t>
      </w:r>
    </w:p>
    <w:p>
      <w:pPr>
        <w:spacing w:after="0" w:line="24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/s/ Timothy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549400" cy="133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0">
                      <a:extLst>
                        <a:ext uri="{28A0092B-C50C-407E-A947-70E740481C1C}"/>
                      </a:extLst>
                    </a:blip>
                    <a:srcRect/>
                    <a:stretch>
                      <a:fillRect/>
                    </a:stretch>
                  </pic:blipFill>
                  <pic:spPr bwMode="auto">
                    <a:xfrm>
                      <a:off x="0" y="0"/>
                      <a:ext cx="1549400" cy="13335"/>
                    </a:xfrm>
                    <a:prstGeom prst="rect">
                      <a:avLst/>
                    </a:prstGeom>
                    <a:noFill/>
                  </pic:spPr>
                </pic:pic>
              </a:graphicData>
            </a:graphic>
          </wp:anchor>
        </w:drawing>
      </w:r>
    </w:p>
    <w:p>
      <w:pPr>
        <w:spacing w:after="0" w:line="21"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Timothy Morris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6060" w:type="dxa"/>
            <w:vAlign w:val="bottom"/>
            <w:tcBorders>
              <w:bottom w:val="single" w:sz="8" w:color="auto"/>
            </w:tcBorders>
          </w:tcPr>
          <w:p>
            <w:pPr>
              <w:ind w:left="28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380" w:type="dxa"/>
            <w:vAlign w:val="bottom"/>
          </w:tcPr>
          <w:p>
            <w:pPr>
              <w:spacing w:after="0"/>
              <w:rPr>
                <w:sz w:val="16"/>
                <w:szCs w:val="16"/>
                <w:color w:val="auto"/>
              </w:rPr>
            </w:pPr>
          </w:p>
        </w:tc>
        <w:tc>
          <w:tcPr>
            <w:tcW w:w="198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71"/>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President, Chief Executive Officer and Member of the Board of Directors</w:t>
            </w:r>
          </w:p>
        </w:tc>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4, 2026</w:t>
            </w:r>
          </w:p>
        </w:tc>
      </w:tr>
      <w:tr>
        <w:trPr>
          <w:trHeight w:val="191"/>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980" w:type="dxa"/>
            <w:vAlign w:val="bottom"/>
          </w:tcPr>
          <w:p>
            <w:pPr>
              <w:spacing w:after="0"/>
              <w:rPr>
                <w:sz w:val="16"/>
                <w:szCs w:val="16"/>
                <w:color w:val="auto"/>
              </w:rPr>
            </w:pPr>
          </w:p>
        </w:tc>
      </w:tr>
      <w:tr>
        <w:trPr>
          <w:trHeight w:val="371"/>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Senior Vice President, Chief Financial Officer</w:t>
            </w:r>
          </w:p>
        </w:tc>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4, 2026</w:t>
            </w:r>
          </w:p>
        </w:tc>
      </w:tr>
      <w:tr>
        <w:trPr>
          <w:trHeight w:val="191"/>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(Principal Financial Officer and Principal Accounting Officer)</w:t>
            </w:r>
          </w:p>
        </w:tc>
        <w:tc>
          <w:tcPr>
            <w:tcW w:w="1980" w:type="dxa"/>
            <w:vAlign w:val="bottom"/>
          </w:tcPr>
          <w:p>
            <w:pPr>
              <w:spacing w:after="0"/>
              <w:rPr>
                <w:sz w:val="16"/>
                <w:szCs w:val="16"/>
                <w:color w:val="auto"/>
              </w:rPr>
            </w:pPr>
          </w:p>
        </w:tc>
      </w:tr>
      <w:tr>
        <w:trPr>
          <w:trHeight w:val="371"/>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Chairman of the Board of Directors</w:t>
            </w:r>
          </w:p>
        </w:tc>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4, 2026</w:t>
            </w:r>
          </w:p>
        </w:tc>
      </w:tr>
      <w:tr>
        <w:trPr>
          <w:trHeight w:val="584"/>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Member of the Board of Directors</w:t>
            </w:r>
          </w:p>
        </w:tc>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4, 2026</w:t>
            </w:r>
          </w:p>
        </w:tc>
      </w:tr>
      <w:tr>
        <w:trPr>
          <w:trHeight w:val="626"/>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Member of the Board of Directors</w:t>
            </w:r>
          </w:p>
        </w:tc>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4, 2026</w:t>
            </w:r>
          </w:p>
        </w:tc>
      </w:tr>
      <w:tr>
        <w:trPr>
          <w:trHeight w:val="605"/>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Member of the Board of Directors</w:t>
            </w:r>
          </w:p>
        </w:tc>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4, 2026</w:t>
            </w:r>
          </w:p>
        </w:tc>
      </w:tr>
      <w:tr>
        <w:trPr>
          <w:trHeight w:val="605"/>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Member of the Board of Directors</w:t>
            </w:r>
          </w:p>
        </w:tc>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4, 2026</w:t>
            </w:r>
          </w:p>
        </w:tc>
      </w:tr>
      <w:tr>
        <w:trPr>
          <w:trHeight w:val="605"/>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Member of the Board of Directors</w:t>
            </w:r>
          </w:p>
        </w:tc>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4, 2026</w:t>
            </w:r>
          </w:p>
        </w:tc>
      </w:tr>
    </w:tbl>
    <w:p>
      <w:pPr>
        <w:spacing w:after="0" w:line="367" w:lineRule="exact"/>
        <w:rPr>
          <w:sz w:val="20"/>
          <w:szCs w:val="20"/>
          <w:color w:val="auto"/>
        </w:rPr>
      </w:pPr>
    </w:p>
    <w:p>
      <w:pPr>
        <w:sectPr>
          <w:pgSz w:w="11900" w:h="16838" w:orient="portrait"/>
          <w:cols w:equalWidth="0" w:num="2">
            <w:col w:w="2120" w:space="720"/>
            <w:col w:w="8420"/>
          </w:cols>
          <w:pgMar w:left="300" w:top="728" w:right="339" w:bottom="1440" w:gutter="0" w:footer="0" w:header="0"/>
          <w:type w:val="continuous"/>
        </w:sect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8" w:right="339" w:bottom="1440" w:gutter="0" w:footer="0" w:header="0"/>
          <w:type w:val="continuous"/>
        </w:sectPr>
      </w:pPr>
    </w:p>
    <w:bookmarkStart w:id="86" w:name="page87"/>
    <w:bookmarkEnd w:id="86"/>
    <w:tbl>
      <w:tblPr>
        <w:tblLayout w:type="fixed"/>
        <w:tblInd w:w="0" w:type="dxa"/>
        <w:tblCellMar>
          <w:top w:w="0" w:type="dxa"/>
          <w:left w:w="0" w:type="dxa"/>
          <w:bottom w:w="0" w:type="dxa"/>
          <w:right w:w="0" w:type="dxa"/>
        </w:tblCellMar>
      </w:tblPr>
      <w:tr>
        <w:trPr>
          <w:trHeight w:val="186"/>
        </w:trPr>
        <w:tc>
          <w:tcPr>
            <w:tcW w:w="10160" w:type="dxa"/>
            <w:vAlign w:val="bottom"/>
          </w:tcPr>
          <w:p>
            <w:pPr>
              <w:ind w:left="4740"/>
              <w:spacing w:after="0"/>
              <w:rPr>
                <w:sz w:val="20"/>
                <w:szCs w:val="20"/>
                <w:color w:val="auto"/>
              </w:rPr>
            </w:pPr>
            <w:r>
              <w:rPr>
                <w:rFonts w:ascii="Times New Roman" w:cs="Times New Roman" w:eastAsia="Times New Roman" w:hAnsi="Times New Roman"/>
                <w:sz w:val="14"/>
                <w:szCs w:val="14"/>
                <w:b w:val="1"/>
                <w:bCs w:val="1"/>
                <w:color w:val="auto"/>
              </w:rPr>
              <w:t>Index to Financial Statements</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25"/>
        </w:trPr>
        <w:tc>
          <w:tcPr>
            <w:tcW w:w="10160" w:type="dxa"/>
            <w:vAlign w:val="bottom"/>
          </w:tcPr>
          <w:p>
            <w:pPr>
              <w:spacing w:after="0"/>
              <w:rPr>
                <w:sz w:val="24"/>
                <w:szCs w:val="24"/>
                <w:color w:val="auto"/>
              </w:rPr>
            </w:pPr>
          </w:p>
        </w:tc>
        <w:tc>
          <w:tcPr>
            <w:tcW w:w="11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color w:val="auto"/>
                <w:w w:val="95"/>
              </w:rPr>
              <w:t>Page</w:t>
            </w:r>
          </w:p>
        </w:tc>
      </w:tr>
      <w:tr>
        <w:trPr>
          <w:trHeight w:val="192"/>
        </w:trPr>
        <w:tc>
          <w:tcPr>
            <w:tcW w:w="10160" w:type="dxa"/>
            <w:vAlign w:val="bottom"/>
          </w:tcPr>
          <w:p>
            <w:pPr>
              <w:spacing w:after="0"/>
              <w:rPr>
                <w:sz w:val="16"/>
                <w:szCs w:val="16"/>
                <w:color w:val="auto"/>
              </w:rPr>
            </w:pPr>
          </w:p>
        </w:tc>
        <w:tc>
          <w:tcPr>
            <w:tcW w:w="11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color w:val="auto"/>
              </w:rPr>
              <w:t>Number</w:t>
            </w:r>
          </w:p>
        </w:tc>
      </w:tr>
      <w:tr>
        <w:trPr>
          <w:trHeight w:val="127"/>
        </w:trPr>
        <w:tc>
          <w:tcPr>
            <w:tcW w:w="10160" w:type="dxa"/>
            <w:vAlign w:val="bottom"/>
            <w:tcBorders>
              <w:top w:val="single" w:sz="8" w:color="CCEEFF"/>
            </w:tcBorders>
            <w:shd w:val="clear" w:color="auto" w:fill="CCEEFF"/>
          </w:tcPr>
          <w:p>
            <w:pPr>
              <w:ind w:left="20"/>
              <w:spacing w:after="0" w:line="127" w:lineRule="exact"/>
              <w:rPr>
                <w:sz w:val="20"/>
                <w:szCs w:val="20"/>
                <w:color w:val="auto"/>
              </w:rPr>
            </w:pPr>
            <w:r>
              <w:rPr>
                <w:rFonts w:ascii="Times New Roman" w:cs="Times New Roman" w:eastAsia="Times New Roman" w:hAnsi="Times New Roman"/>
                <w:sz w:val="14"/>
                <w:szCs w:val="14"/>
                <w:color w:val="auto"/>
              </w:rPr>
              <w:t>Report of Independent Registered Public Accounting Firm (KPMG LLP, New York, NY,</w:t>
            </w:r>
          </w:p>
        </w:tc>
        <w:tc>
          <w:tcPr>
            <w:tcW w:w="5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71"/>
        </w:trPr>
        <w:tc>
          <w:tcPr>
            <w:tcW w:w="10160" w:type="dxa"/>
            <w:vAlign w:val="bottom"/>
            <w:shd w:val="clear" w:color="auto" w:fill="CCEEFF"/>
          </w:tcPr>
          <w:p>
            <w:pPr>
              <w:ind w:left="280"/>
              <w:spacing w:after="0" w:line="159" w:lineRule="exact"/>
              <w:rPr>
                <w:sz w:val="20"/>
                <w:szCs w:val="20"/>
                <w:color w:val="auto"/>
              </w:rPr>
            </w:pPr>
            <w:r>
              <w:rPr>
                <w:rFonts w:ascii="Times New Roman" w:cs="Times New Roman" w:eastAsia="Times New Roman" w:hAnsi="Times New Roman"/>
                <w:sz w:val="14"/>
                <w:szCs w:val="14"/>
                <w:color w:val="auto"/>
              </w:rPr>
              <w:t>Auditor Firm ID: 185)</w:t>
            </w:r>
          </w:p>
        </w:tc>
        <w:tc>
          <w:tcPr>
            <w:tcW w:w="1100" w:type="dxa"/>
            <w:vAlign w:val="bottom"/>
            <w:gridSpan w:val="3"/>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0000FF"/>
                <w:w w:val="85"/>
              </w:rPr>
              <w:t>2</w:t>
            </w:r>
          </w:p>
        </w:tc>
        <w:tc>
          <w:tcPr>
            <w:tcW w:w="20" w:type="dxa"/>
            <w:vAlign w:val="bottom"/>
          </w:tcPr>
          <w:p>
            <w:pPr>
              <w:spacing w:after="0"/>
              <w:rPr>
                <w:sz w:val="14"/>
                <w:szCs w:val="14"/>
                <w:color w:val="auto"/>
              </w:rPr>
            </w:pPr>
          </w:p>
        </w:tc>
      </w:tr>
      <w:tr>
        <w:trPr>
          <w:trHeight w:val="180"/>
        </w:trPr>
        <w:tc>
          <w:tcPr>
            <w:tcW w:w="1016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20" w:type="dxa"/>
            <w:vAlign w:val="bottom"/>
          </w:tcPr>
          <w:p>
            <w:pPr>
              <w:spacing w:after="0"/>
              <w:rPr>
                <w:sz w:val="15"/>
                <w:szCs w:val="15"/>
                <w:color w:val="auto"/>
              </w:rPr>
            </w:pPr>
          </w:p>
        </w:tc>
      </w:tr>
      <w:tr>
        <w:trPr>
          <w:trHeight w:val="160"/>
        </w:trPr>
        <w:tc>
          <w:tcPr>
            <w:tcW w:w="101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Balance Sheets as of December 31, 2025 and 2024</w:t>
            </w:r>
          </w:p>
        </w:tc>
        <w:tc>
          <w:tcPr>
            <w:tcW w:w="1100" w:type="dxa"/>
            <w:vAlign w:val="bottom"/>
            <w:gridSpan w:val="3"/>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0000FF"/>
                <w:w w:val="85"/>
              </w:rPr>
              <w:t>4</w:t>
            </w:r>
          </w:p>
        </w:tc>
        <w:tc>
          <w:tcPr>
            <w:tcW w:w="20" w:type="dxa"/>
            <w:vAlign w:val="bottom"/>
          </w:tcPr>
          <w:p>
            <w:pPr>
              <w:spacing w:after="0"/>
              <w:rPr>
                <w:sz w:val="13"/>
                <w:szCs w:val="13"/>
                <w:color w:val="auto"/>
              </w:rPr>
            </w:pPr>
          </w:p>
        </w:tc>
      </w:tr>
      <w:tr>
        <w:trPr>
          <w:trHeight w:val="180"/>
        </w:trPr>
        <w:tc>
          <w:tcPr>
            <w:tcW w:w="1016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20" w:type="dxa"/>
            <w:vAlign w:val="bottom"/>
          </w:tcPr>
          <w:p>
            <w:pPr>
              <w:spacing w:after="0"/>
              <w:rPr>
                <w:sz w:val="15"/>
                <w:szCs w:val="15"/>
                <w:color w:val="auto"/>
              </w:rPr>
            </w:pPr>
          </w:p>
        </w:tc>
      </w:tr>
      <w:tr>
        <w:trPr>
          <w:trHeight w:val="160"/>
        </w:trPr>
        <w:tc>
          <w:tcPr>
            <w:tcW w:w="101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Statements of Operations and Comprehensive Loss for the Years Ended December 31, 2025 and 2024</w:t>
            </w:r>
          </w:p>
        </w:tc>
        <w:tc>
          <w:tcPr>
            <w:tcW w:w="1100" w:type="dxa"/>
            <w:vAlign w:val="bottom"/>
            <w:gridSpan w:val="3"/>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0000FF"/>
                <w:w w:val="85"/>
              </w:rPr>
              <w:t>5</w:t>
            </w:r>
          </w:p>
        </w:tc>
        <w:tc>
          <w:tcPr>
            <w:tcW w:w="20" w:type="dxa"/>
            <w:vAlign w:val="bottom"/>
          </w:tcPr>
          <w:p>
            <w:pPr>
              <w:spacing w:after="0"/>
              <w:rPr>
                <w:sz w:val="13"/>
                <w:szCs w:val="13"/>
                <w:color w:val="auto"/>
              </w:rPr>
            </w:pPr>
          </w:p>
        </w:tc>
      </w:tr>
      <w:tr>
        <w:trPr>
          <w:trHeight w:val="180"/>
        </w:trPr>
        <w:tc>
          <w:tcPr>
            <w:tcW w:w="1016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20" w:type="dxa"/>
            <w:vAlign w:val="bottom"/>
          </w:tcPr>
          <w:p>
            <w:pPr>
              <w:spacing w:after="0"/>
              <w:rPr>
                <w:sz w:val="15"/>
                <w:szCs w:val="15"/>
                <w:color w:val="auto"/>
              </w:rPr>
            </w:pPr>
          </w:p>
        </w:tc>
      </w:tr>
      <w:tr>
        <w:trPr>
          <w:trHeight w:val="160"/>
        </w:trPr>
        <w:tc>
          <w:tcPr>
            <w:tcW w:w="101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Statements of Changes in Stockholders’ Deficit for the Years Ended December 31, 2025 and 2024</w:t>
            </w:r>
          </w:p>
        </w:tc>
        <w:tc>
          <w:tcPr>
            <w:tcW w:w="1100" w:type="dxa"/>
            <w:vAlign w:val="bottom"/>
            <w:gridSpan w:val="3"/>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0000FF"/>
                <w:w w:val="85"/>
              </w:rPr>
              <w:t>6</w:t>
            </w:r>
          </w:p>
        </w:tc>
        <w:tc>
          <w:tcPr>
            <w:tcW w:w="20" w:type="dxa"/>
            <w:vAlign w:val="bottom"/>
          </w:tcPr>
          <w:p>
            <w:pPr>
              <w:spacing w:after="0"/>
              <w:rPr>
                <w:sz w:val="13"/>
                <w:szCs w:val="13"/>
                <w:color w:val="auto"/>
              </w:rPr>
            </w:pPr>
          </w:p>
        </w:tc>
      </w:tr>
      <w:tr>
        <w:trPr>
          <w:trHeight w:val="180"/>
        </w:trPr>
        <w:tc>
          <w:tcPr>
            <w:tcW w:w="1016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20" w:type="dxa"/>
            <w:vAlign w:val="bottom"/>
          </w:tcPr>
          <w:p>
            <w:pPr>
              <w:spacing w:after="0"/>
              <w:rPr>
                <w:sz w:val="15"/>
                <w:szCs w:val="15"/>
                <w:color w:val="auto"/>
              </w:rPr>
            </w:pPr>
          </w:p>
        </w:tc>
      </w:tr>
      <w:tr>
        <w:trPr>
          <w:trHeight w:val="160"/>
        </w:trPr>
        <w:tc>
          <w:tcPr>
            <w:tcW w:w="101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Statements of Cash Flows for the Years Ended December 31, 2025 and 2024</w:t>
            </w:r>
          </w:p>
        </w:tc>
        <w:tc>
          <w:tcPr>
            <w:tcW w:w="1100" w:type="dxa"/>
            <w:vAlign w:val="bottom"/>
            <w:gridSpan w:val="3"/>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0000FF"/>
                <w:w w:val="85"/>
              </w:rPr>
              <w:t>7</w:t>
            </w:r>
          </w:p>
        </w:tc>
        <w:tc>
          <w:tcPr>
            <w:tcW w:w="20" w:type="dxa"/>
            <w:vAlign w:val="bottom"/>
          </w:tcPr>
          <w:p>
            <w:pPr>
              <w:spacing w:after="0"/>
              <w:rPr>
                <w:sz w:val="13"/>
                <w:szCs w:val="13"/>
                <w:color w:val="auto"/>
              </w:rPr>
            </w:pPr>
          </w:p>
        </w:tc>
      </w:tr>
      <w:tr>
        <w:trPr>
          <w:trHeight w:val="180"/>
        </w:trPr>
        <w:tc>
          <w:tcPr>
            <w:tcW w:w="1016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20" w:type="dxa"/>
            <w:vAlign w:val="bottom"/>
          </w:tcPr>
          <w:p>
            <w:pPr>
              <w:spacing w:after="0"/>
              <w:rPr>
                <w:sz w:val="15"/>
                <w:szCs w:val="15"/>
                <w:color w:val="auto"/>
              </w:rPr>
            </w:pPr>
          </w:p>
        </w:tc>
      </w:tr>
      <w:tr>
        <w:trPr>
          <w:trHeight w:val="160"/>
        </w:trPr>
        <w:tc>
          <w:tcPr>
            <w:tcW w:w="101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Notes to the Financial Statements</w:t>
            </w:r>
          </w:p>
        </w:tc>
        <w:tc>
          <w:tcPr>
            <w:tcW w:w="1100" w:type="dxa"/>
            <w:vAlign w:val="bottom"/>
            <w:gridSpan w:val="3"/>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0000FF"/>
                <w:w w:val="85"/>
              </w:rPr>
              <w:t>8</w:t>
            </w:r>
          </w:p>
        </w:tc>
        <w:tc>
          <w:tcPr>
            <w:tcW w:w="20" w:type="dxa"/>
            <w:vAlign w:val="bottom"/>
          </w:tcPr>
          <w:p>
            <w:pPr>
              <w:spacing w:after="0"/>
              <w:rPr>
                <w:sz w:val="13"/>
                <w:szCs w:val="13"/>
                <w:color w:val="auto"/>
              </w:rPr>
            </w:pPr>
          </w:p>
        </w:tc>
      </w:tr>
      <w:tr>
        <w:trPr>
          <w:trHeight w:val="866"/>
        </w:trPr>
        <w:tc>
          <w:tcPr>
            <w:tcW w:w="10160" w:type="dxa"/>
            <w:vAlign w:val="bottom"/>
            <w:tcBorders>
              <w:top w:val="single" w:sz="8" w:color="CCEEFF"/>
            </w:tcBorders>
          </w:tcPr>
          <w:p>
            <w:pPr>
              <w:ind w:left="5560"/>
              <w:spacing w:after="0"/>
              <w:rPr>
                <w:sz w:val="20"/>
                <w:szCs w:val="20"/>
                <w:color w:val="auto"/>
              </w:rPr>
            </w:pPr>
            <w:r>
              <w:rPr>
                <w:rFonts w:ascii="Times New Roman" w:cs="Times New Roman" w:eastAsia="Times New Roman" w:hAnsi="Times New Roman"/>
                <w:sz w:val="13"/>
                <w:szCs w:val="13"/>
                <w:color w:val="auto"/>
              </w:rPr>
              <w:t>F-1</w:t>
            </w: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80"/>
        </w:trPr>
        <w:tc>
          <w:tcPr>
            <w:tcW w:w="1016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color w:val="auto"/>
        </w:rPr>
        <w:t>To the Stockholders and the Board of Directors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Aquestive Therapeutics, Inc.:</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Opinion on the Financial Statements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audited the accompanying balance sheets of Aquestive Therapeutics, Inc. (the Company) as of December 31, 2025 and 2024, the related statements of operations and comprehensive loss, changes in stockholders’ deficit, and cash flows for each of the years in the two-year period ended December 31, 2025, and the related notes (collectively, the financial statements). In our opinion, the financial statements present fairly, in all material respects, the financial position of the Company as of December 31, 2025 and 2024, and the results of its operations and its cash flows for each of the years in the two-year period ended December 31, 2025, in conformity with U.S. generally accepted accounting principles.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for Opinion</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a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Evaluation of the Company’s ability to continue as a going concern</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discussed in Note 4 to the financial statements, the Company has experienced a history of net losses. The Company’s accumulated deficit totaled $446,998 thousand as of December 31, 2025. Historically, the Company’s sources of liquidity included cash and cash equivalents, equity, and debt offerings. The Company believes that its ongoing business, existing cash and equivalents, expense management activities, and access to equity capital markets through its ATM facility provide liquidity to fund its operating needs for at least twelve months from the date of issuance of these financial statements.</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identified the evaluation of the Company’s assessment of its ability to continue as a going concern as a critical audit matter. A high degree of subjective auditor judgment was required to evaluate the Company’s forecasted cash flows used in its going concern analysis due to uncertainty in certain assumptions, specifically forecasted expenses.</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following are the primary procedures we performed to address this critical audit matter. We compared the Company’s historical forecasted cash flows to actual results to assess the Company’s ability to accurately forecast. We performed sensitivity analyses over the Company’s forecasted cash flows by evaluating the effect of changes to the forecasted expenses on the Company’s going concern assessment. We assessed the reasonableness of the Company’s forecasted expenses by comparing to management’s communications to the Board of Directors and public information disseminated by the Company. We assessed the Company’s disclosures related to its going concern assessment by comparing the disclosures to the audit evidence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color w:val="auto"/>
        </w:rPr>
        <w:t>/s/ KPMG LLP</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2006.</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Short Hills, New Jersey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4, 2026</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729" w:right="1440"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4"/>
          <w:szCs w:val="14"/>
          <w:b w:val="1"/>
          <w:bCs w:val="1"/>
          <w:color w:val="auto"/>
        </w:rPr>
        <w:t>AQUESTIVE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per share/unit amounts)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8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56"/>
        </w:trPr>
        <w:tc>
          <w:tcPr>
            <w:tcW w:w="832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6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121,169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71,546</w:t>
            </w:r>
          </w:p>
        </w:tc>
        <w:tc>
          <w:tcPr>
            <w:tcW w:w="0" w:type="dxa"/>
            <w:vAlign w:val="bottom"/>
          </w:tcPr>
          <w:p>
            <w:pPr>
              <w:spacing w:after="0"/>
              <w:rPr>
                <w:sz w:val="1"/>
                <w:szCs w:val="1"/>
                <w:color w:val="auto"/>
              </w:rPr>
            </w:pPr>
          </w:p>
        </w:tc>
      </w:tr>
      <w:tr>
        <w:trPr>
          <w:trHeight w:val="180"/>
        </w:trPr>
        <w:tc>
          <w:tcPr>
            <w:tcW w:w="8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Trade and other receivables, net</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17,763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7,344</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Inventories, net</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6,044</w:t>
            </w:r>
          </w:p>
        </w:tc>
        <w:tc>
          <w:tcPr>
            <w:tcW w:w="0" w:type="dxa"/>
            <w:vAlign w:val="bottom"/>
          </w:tcPr>
          <w:p>
            <w:pPr>
              <w:spacing w:after="0"/>
              <w:rPr>
                <w:sz w:val="1"/>
                <w:szCs w:val="1"/>
                <w:color w:val="auto"/>
              </w:rPr>
            </w:pPr>
          </w:p>
        </w:tc>
      </w:tr>
      <w:tr>
        <w:trPr>
          <w:trHeight w:val="180"/>
        </w:trPr>
        <w:tc>
          <w:tcPr>
            <w:tcW w:w="8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8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4,168</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3,286</w:t>
            </w:r>
          </w:p>
        </w:tc>
        <w:tc>
          <w:tcPr>
            <w:tcW w:w="0" w:type="dxa"/>
            <w:vAlign w:val="bottom"/>
          </w:tcPr>
          <w:p>
            <w:pPr>
              <w:spacing w:after="0"/>
              <w:rPr>
                <w:sz w:val="1"/>
                <w:szCs w:val="1"/>
                <w:color w:val="auto"/>
              </w:rPr>
            </w:pPr>
          </w:p>
        </w:tc>
      </w:tr>
      <w:tr>
        <w:trPr>
          <w:trHeight w:val="171"/>
        </w:trPr>
        <w:tc>
          <w:tcPr>
            <w:tcW w:w="8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current assets</w:t>
            </w:r>
          </w:p>
        </w:tc>
        <w:tc>
          <w:tcPr>
            <w:tcW w:w="8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149,269</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88,220</w:t>
            </w:r>
          </w:p>
        </w:tc>
        <w:tc>
          <w:tcPr>
            <w:tcW w:w="0" w:type="dxa"/>
            <w:vAlign w:val="bottom"/>
          </w:tcPr>
          <w:p>
            <w:pPr>
              <w:spacing w:after="0"/>
              <w:rPr>
                <w:sz w:val="1"/>
                <w:szCs w:val="1"/>
                <w:color w:val="auto"/>
              </w:rPr>
            </w:pPr>
          </w:p>
        </w:tc>
      </w:tr>
      <w:tr>
        <w:trPr>
          <w:trHeight w:val="18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3,799</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assets, net</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5,182</w:t>
            </w:r>
          </w:p>
        </w:tc>
        <w:tc>
          <w:tcPr>
            <w:tcW w:w="0" w:type="dxa"/>
            <w:vAlign w:val="bottom"/>
          </w:tcPr>
          <w:p>
            <w:pPr>
              <w:spacing w:after="0"/>
              <w:rPr>
                <w:sz w:val="1"/>
                <w:szCs w:val="1"/>
                <w:color w:val="auto"/>
              </w:rPr>
            </w:pPr>
          </w:p>
        </w:tc>
      </w:tr>
      <w:tr>
        <w:trPr>
          <w:trHeight w:val="18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8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2,642</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4,223</w:t>
            </w:r>
          </w:p>
        </w:tc>
        <w:tc>
          <w:tcPr>
            <w:tcW w:w="0" w:type="dxa"/>
            <w:vAlign w:val="bottom"/>
          </w:tcPr>
          <w:p>
            <w:pPr>
              <w:spacing w:after="0"/>
              <w:rPr>
                <w:sz w:val="1"/>
                <w:szCs w:val="1"/>
                <w:color w:val="auto"/>
              </w:rPr>
            </w:pPr>
          </w:p>
        </w:tc>
      </w:tr>
      <w:tr>
        <w:trPr>
          <w:trHeight w:val="196"/>
        </w:trPr>
        <w:tc>
          <w:tcPr>
            <w:tcW w:w="8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assets</w:t>
            </w:r>
          </w:p>
        </w:tc>
        <w:tc>
          <w:tcPr>
            <w:tcW w:w="86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160,425</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101,424</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deficit</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86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29,862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10,287</w:t>
            </w:r>
          </w:p>
        </w:tc>
        <w:tc>
          <w:tcPr>
            <w:tcW w:w="0" w:type="dxa"/>
            <w:vAlign w:val="bottom"/>
          </w:tcPr>
          <w:p>
            <w:pPr>
              <w:spacing w:after="0"/>
              <w:rPr>
                <w:sz w:val="1"/>
                <w:szCs w:val="1"/>
                <w:color w:val="auto"/>
              </w:rPr>
            </w:pPr>
          </w:p>
        </w:tc>
      </w:tr>
      <w:tr>
        <w:trPr>
          <w:trHeight w:val="180"/>
        </w:trPr>
        <w:tc>
          <w:tcPr>
            <w:tcW w:w="8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expenses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5,907</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Lease liabilities, current</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0" w:type="dxa"/>
            <w:vAlign w:val="bottom"/>
          </w:tcPr>
          <w:p>
            <w:pPr>
              <w:spacing w:after="0"/>
              <w:rPr>
                <w:sz w:val="1"/>
                <w:szCs w:val="1"/>
                <w:color w:val="auto"/>
              </w:rPr>
            </w:pPr>
          </w:p>
        </w:tc>
      </w:tr>
      <w:tr>
        <w:trPr>
          <w:trHeight w:val="180"/>
        </w:trPr>
        <w:tc>
          <w:tcPr>
            <w:tcW w:w="8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Deferred revenue, current</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Liability related to the sale of future revenue, current</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80"/>
        </w:trPr>
        <w:tc>
          <w:tcPr>
            <w:tcW w:w="8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Royalty obligations, current</w:t>
            </w:r>
          </w:p>
        </w:tc>
        <w:tc>
          <w:tcPr>
            <w:tcW w:w="86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Loans payable, current</w:t>
            </w:r>
          </w:p>
        </w:tc>
        <w:tc>
          <w:tcPr>
            <w:tcW w:w="8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9,994</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71"/>
        </w:trPr>
        <w:tc>
          <w:tcPr>
            <w:tcW w:w="8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47,608</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18,865</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Notes payable, net</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27,519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32,500</w:t>
            </w:r>
          </w:p>
        </w:tc>
        <w:tc>
          <w:tcPr>
            <w:tcW w:w="0" w:type="dxa"/>
            <w:vAlign w:val="bottom"/>
          </w:tcPr>
          <w:p>
            <w:pPr>
              <w:spacing w:after="0"/>
              <w:rPr>
                <w:sz w:val="1"/>
                <w:szCs w:val="1"/>
                <w:color w:val="auto"/>
              </w:rPr>
            </w:pPr>
          </w:p>
        </w:tc>
      </w:tr>
      <w:tr>
        <w:trPr>
          <w:trHeight w:val="180"/>
        </w:trPr>
        <w:tc>
          <w:tcPr>
            <w:tcW w:w="8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Royalty obligations, net</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25,941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20,129</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Liability related to the sale of future revenue, net</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62,023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62,718</w:t>
            </w:r>
          </w:p>
        </w:tc>
        <w:tc>
          <w:tcPr>
            <w:tcW w:w="0" w:type="dxa"/>
            <w:vAlign w:val="bottom"/>
          </w:tcPr>
          <w:p>
            <w:pPr>
              <w:spacing w:after="0"/>
              <w:rPr>
                <w:sz w:val="1"/>
                <w:szCs w:val="1"/>
                <w:color w:val="auto"/>
              </w:rPr>
            </w:pPr>
          </w:p>
        </w:tc>
      </w:tr>
      <w:tr>
        <w:trPr>
          <w:trHeight w:val="180"/>
        </w:trPr>
        <w:tc>
          <w:tcPr>
            <w:tcW w:w="8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Lease liabilities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4,337</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4,968</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 revenue, net of current portion</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19,390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20,005</w:t>
            </w:r>
          </w:p>
        </w:tc>
        <w:tc>
          <w:tcPr>
            <w:tcW w:w="0" w:type="dxa"/>
            <w:vAlign w:val="bottom"/>
          </w:tcPr>
          <w:p>
            <w:pPr>
              <w:spacing w:after="0"/>
              <w:rPr>
                <w:sz w:val="1"/>
                <w:szCs w:val="1"/>
                <w:color w:val="auto"/>
              </w:rPr>
            </w:pPr>
          </w:p>
        </w:tc>
      </w:tr>
      <w:tr>
        <w:trPr>
          <w:trHeight w:val="180"/>
        </w:trPr>
        <w:tc>
          <w:tcPr>
            <w:tcW w:w="8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8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7,269</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2,395</w:t>
            </w:r>
          </w:p>
        </w:tc>
        <w:tc>
          <w:tcPr>
            <w:tcW w:w="0" w:type="dxa"/>
            <w:vAlign w:val="bottom"/>
          </w:tcPr>
          <w:p>
            <w:pPr>
              <w:spacing w:after="0"/>
              <w:rPr>
                <w:sz w:val="1"/>
                <w:szCs w:val="1"/>
                <w:color w:val="auto"/>
              </w:rPr>
            </w:pPr>
          </w:p>
        </w:tc>
      </w:tr>
      <w:tr>
        <w:trPr>
          <w:trHeight w:val="171"/>
        </w:trPr>
        <w:tc>
          <w:tcPr>
            <w:tcW w:w="8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liabilities</w:t>
            </w:r>
          </w:p>
        </w:tc>
        <w:tc>
          <w:tcPr>
            <w:tcW w:w="8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194,087</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161,580</w:t>
            </w:r>
          </w:p>
        </w:tc>
        <w:tc>
          <w:tcPr>
            <w:tcW w:w="0" w:type="dxa"/>
            <w:vAlign w:val="bottom"/>
          </w:tcPr>
          <w:p>
            <w:pPr>
              <w:spacing w:after="0"/>
              <w:rPr>
                <w:sz w:val="1"/>
                <w:szCs w:val="1"/>
                <w:color w:val="auto"/>
              </w:rPr>
            </w:pPr>
          </w:p>
        </w:tc>
      </w:tr>
      <w:tr>
        <w:trPr>
          <w:trHeight w:val="16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Contingencies (Note 23)</w:t>
            </w: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8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deficit:</w:t>
            </w: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8320" w:type="dxa"/>
            <w:vAlign w:val="bottom"/>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color w:val="auto"/>
              </w:rPr>
              <w:t>Common stock, $0.001 par value. Authorized 250,000,000 shares; 122,044,299 and 91,413,742 shares issued and outstanding at December 31,</w:t>
            </w:r>
          </w:p>
        </w:tc>
        <w:tc>
          <w:tcPr>
            <w:tcW w:w="8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2025 and December 31, 2024, respectively</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80"/>
        </w:trPr>
        <w:tc>
          <w:tcPr>
            <w:tcW w:w="8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413,214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302,967</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deficit</w:t>
            </w:r>
          </w:p>
        </w:tc>
        <w:tc>
          <w:tcPr>
            <w:tcW w:w="8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(446,998)</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(363,214)</w:t>
            </w:r>
          </w:p>
        </w:tc>
        <w:tc>
          <w:tcPr>
            <w:tcW w:w="0" w:type="dxa"/>
            <w:vAlign w:val="bottom"/>
          </w:tcPr>
          <w:p>
            <w:pPr>
              <w:spacing w:after="0"/>
              <w:rPr>
                <w:sz w:val="1"/>
                <w:szCs w:val="1"/>
                <w:color w:val="auto"/>
              </w:rPr>
            </w:pPr>
          </w:p>
        </w:tc>
      </w:tr>
      <w:tr>
        <w:trPr>
          <w:trHeight w:val="172"/>
        </w:trPr>
        <w:tc>
          <w:tcPr>
            <w:tcW w:w="83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stockholders’ deficit</w:t>
            </w:r>
          </w:p>
        </w:tc>
        <w:tc>
          <w:tcPr>
            <w:tcW w:w="8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(33,662)</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(60,156)</w:t>
            </w:r>
          </w:p>
        </w:tc>
        <w:tc>
          <w:tcPr>
            <w:tcW w:w="0" w:type="dxa"/>
            <w:vAlign w:val="bottom"/>
          </w:tcPr>
          <w:p>
            <w:pPr>
              <w:spacing w:after="0"/>
              <w:rPr>
                <w:sz w:val="1"/>
                <w:szCs w:val="1"/>
                <w:color w:val="auto"/>
              </w:rPr>
            </w:pPr>
          </w:p>
        </w:tc>
      </w:tr>
      <w:tr>
        <w:trPr>
          <w:trHeight w:val="205"/>
        </w:trPr>
        <w:tc>
          <w:tcPr>
            <w:tcW w:w="8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liabilities and stockholders’ deficit</w:t>
            </w:r>
          </w:p>
        </w:tc>
        <w:tc>
          <w:tcPr>
            <w:tcW w:w="86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160,425</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101,424</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financial statements.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4"/>
          <w:szCs w:val="14"/>
          <w:b w:val="1"/>
          <w:bCs w:val="1"/>
          <w:color w:val="auto"/>
        </w:rPr>
        <w:t>AQUESTIVE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per share data amounts)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1"/>
        </w:trPr>
        <w:tc>
          <w:tcPr>
            <w:tcW w:w="83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44,545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57,561</w:t>
            </w:r>
          </w:p>
        </w:tc>
      </w:tr>
      <w:tr>
        <w:trPr>
          <w:trHeight w:val="18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Manufacture and supply</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18,555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17,872</w:t>
            </w:r>
          </w:p>
        </w:tc>
      </w:tr>
      <w:tr>
        <w:trPr>
          <w:trHeight w:val="180"/>
        </w:trPr>
        <w:tc>
          <w:tcPr>
            <w:tcW w:w="8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17,192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20,280</w:t>
            </w:r>
          </w:p>
        </w:tc>
      </w:tr>
      <w:tr>
        <w:trPr>
          <w:trHeight w:val="180"/>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79,849</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50,180</w:t>
            </w:r>
          </w:p>
        </w:tc>
      </w:tr>
      <w:tr>
        <w:trPr>
          <w:trHeight w:val="171"/>
        </w:trPr>
        <w:tc>
          <w:tcPr>
            <w:tcW w:w="83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costs and expenses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115,596</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88,332</w:t>
            </w:r>
          </w:p>
        </w:tc>
      </w:tr>
      <w:tr>
        <w:trPr>
          <w:trHeight w:val="171"/>
        </w:trPr>
        <w:tc>
          <w:tcPr>
            <w:tcW w:w="8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Loss from operations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(71,051)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(30,771)</w:t>
            </w:r>
          </w:p>
        </w:tc>
      </w:tr>
      <w:tr>
        <w:trPr>
          <w:trHeight w:val="18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(expenses):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(11,122)</w:t>
            </w:r>
          </w:p>
        </w:tc>
      </w:tr>
      <w:tr>
        <w:trPr>
          <w:trHeight w:val="180"/>
        </w:trPr>
        <w:tc>
          <w:tcPr>
            <w:tcW w:w="8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 related to royalty obligations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(5,459)</w:t>
            </w:r>
          </w:p>
        </w:tc>
      </w:tr>
      <w:tr>
        <w:trPr>
          <w:trHeight w:val="180"/>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 related to the sale of future revenue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r>
      <w:tr>
        <w:trPr>
          <w:trHeight w:val="180"/>
        </w:trPr>
        <w:tc>
          <w:tcPr>
            <w:tcW w:w="8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Interest income and other income, net</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3,437</w:t>
            </w:r>
          </w:p>
        </w:tc>
      </w:tr>
      <w:tr>
        <w:trPr>
          <w:trHeight w:val="171"/>
        </w:trPr>
        <w:tc>
          <w:tcPr>
            <w:tcW w:w="8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loss before income taxes</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(83,784)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(44,151)</w:t>
            </w:r>
          </w:p>
        </w:tc>
      </w:tr>
      <w:tr>
        <w:trPr>
          <w:trHeight w:val="171"/>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taxes benefit</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71"/>
        </w:trPr>
        <w:tc>
          <w:tcPr>
            <w:tcW w:w="8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(83,784)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(44,137)</w:t>
            </w:r>
          </w:p>
        </w:tc>
      </w:tr>
      <w:tr>
        <w:trPr>
          <w:trHeight w:val="171"/>
        </w:trPr>
        <w:tc>
          <w:tcPr>
            <w:tcW w:w="8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Comprehensive loss</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(83,784)</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(44,137)</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3"/>
        </w:trPr>
        <w:tc>
          <w:tcPr>
            <w:tcW w:w="8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Loss per share attributable to common stockholders: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and diluted (in dollars per share)</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(0.51)</w:t>
            </w:r>
          </w:p>
        </w:tc>
      </w:tr>
      <w:tr>
        <w:trPr>
          <w:trHeight w:val="202"/>
        </w:trPr>
        <w:tc>
          <w:tcPr>
            <w:tcW w:w="8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8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number of common shares outstanding:</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4"/>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and diluted (in shares)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106,926,528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86,726,211</w:t>
            </w: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financial statements.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4"/>
          <w:szCs w:val="14"/>
          <w:b w:val="1"/>
          <w:bCs w:val="1"/>
          <w:color w:val="auto"/>
        </w:rPr>
        <w:t>AQUESTIVE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Statements of Changes in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per share amounts)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2200" w:type="dxa"/>
            <w:vAlign w:val="bottom"/>
            <w:gridSpan w:val="3"/>
            <w:vMerge w:val="restart"/>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27"/>
        </w:trPr>
        <w:tc>
          <w:tcPr>
            <w:tcW w:w="4500" w:type="dxa"/>
            <w:vAlign w:val="bottom"/>
          </w:tcPr>
          <w:p>
            <w:pPr>
              <w:spacing w:after="0"/>
              <w:rPr>
                <w:sz w:val="11"/>
                <w:szCs w:val="11"/>
                <w:color w:val="auto"/>
              </w:rPr>
            </w:pPr>
          </w:p>
        </w:tc>
        <w:tc>
          <w:tcPr>
            <w:tcW w:w="2200" w:type="dxa"/>
            <w:vAlign w:val="bottom"/>
            <w:tcBorders>
              <w:bottom w:val="single" w:sz="8" w:color="auto"/>
            </w:tcBorders>
            <w:gridSpan w:val="3"/>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80" w:type="dxa"/>
            <w:vAlign w:val="bottom"/>
          </w:tcPr>
          <w:p>
            <w:pPr>
              <w:spacing w:after="0"/>
              <w:rPr>
                <w:sz w:val="11"/>
                <w:szCs w:val="11"/>
                <w:color w:val="auto"/>
              </w:rPr>
            </w:pPr>
          </w:p>
        </w:tc>
        <w:tc>
          <w:tcPr>
            <w:tcW w:w="128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1"/>
                <w:szCs w:val="11"/>
                <w:color w:val="auto"/>
              </w:rPr>
            </w:pPr>
          </w:p>
        </w:tc>
        <w:tc>
          <w:tcPr>
            <w:tcW w:w="1220" w:type="dxa"/>
            <w:vAlign w:val="bottom"/>
          </w:tcPr>
          <w:p>
            <w:pPr>
              <w:jc w:val="center"/>
              <w:ind w:right="130"/>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81"/>
        </w:trPr>
        <w:tc>
          <w:tcPr>
            <w:tcW w:w="4500" w:type="dxa"/>
            <w:vAlign w:val="bottom"/>
          </w:tcPr>
          <w:p>
            <w:pPr>
              <w:spacing w:after="0"/>
              <w:rPr>
                <w:sz w:val="15"/>
                <w:szCs w:val="15"/>
                <w:color w:val="auto"/>
              </w:rPr>
            </w:pPr>
          </w:p>
        </w:tc>
        <w:tc>
          <w:tcPr>
            <w:tcW w:w="13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5"/>
                <w:szCs w:val="15"/>
                <w:color w:val="auto"/>
              </w:rPr>
            </w:pPr>
          </w:p>
        </w:tc>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71"/>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68,533,085</w:t>
            </w: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212,521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(319,077)</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(106,487)</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issued under public equity offering-ATM</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4,557,220</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12,385</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Costs of common stock issued under public equity offering-ATM</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issued under public equity offering</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17,226,468</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77,502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77,520</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Costs of common stock issued under public equity offering</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(5,546)</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issued upon warrant exercises</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30,645</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 under employee stock purchase plan</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35,374</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7,056</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restricted stock units, net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673,925</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 exercised, net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357,025</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732</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(44,137)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(44,137)</w:t>
            </w:r>
          </w:p>
        </w:tc>
        <w:tc>
          <w:tcPr>
            <w:tcW w:w="0" w:type="dxa"/>
            <w:vAlign w:val="bottom"/>
          </w:tcPr>
          <w:p>
            <w:pPr>
              <w:spacing w:after="0"/>
              <w:rPr>
                <w:sz w:val="1"/>
                <w:szCs w:val="1"/>
                <w:color w:val="auto"/>
              </w:rPr>
            </w:pPr>
          </w:p>
        </w:tc>
      </w:tr>
      <w:tr>
        <w:trPr>
          <w:trHeight w:val="171"/>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91,413,742</w:t>
            </w:r>
          </w:p>
        </w:tc>
        <w:tc>
          <w:tcPr>
            <w:tcW w:w="10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302,967</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(363,214)</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(60,156)</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issued under public equity offering-ATM</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7,457,627</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21,992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22,000</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of common stock issued under public equity offering-ATM</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issued under public equity offering</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21,250,000</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84,979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85,000</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of common stock issued under public equity offering</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(5,540)</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issued upon warrant exercises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550,000</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under employee stock purchase plan</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38,377</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7,541</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restricted stock units, net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767,053</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exercised, net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567,500</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(83,784)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(83,784)</w:t>
            </w:r>
          </w:p>
        </w:tc>
        <w:tc>
          <w:tcPr>
            <w:tcW w:w="0" w:type="dxa"/>
            <w:vAlign w:val="bottom"/>
          </w:tcPr>
          <w:p>
            <w:pPr>
              <w:spacing w:after="0"/>
              <w:rPr>
                <w:sz w:val="1"/>
                <w:szCs w:val="1"/>
                <w:color w:val="auto"/>
              </w:rPr>
            </w:pPr>
          </w:p>
        </w:tc>
      </w:tr>
      <w:tr>
        <w:trPr>
          <w:trHeight w:val="196"/>
        </w:trPr>
        <w:tc>
          <w:tcPr>
            <w:tcW w:w="4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122,044,299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413,214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(446,998)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(33,662)</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92" w:name="page93"/>
    <w:bookmarkEnd w:id="92"/>
    <w:p>
      <w:pPr>
        <w:ind w:left="4460"/>
        <w:spacing w:after="0"/>
        <w:rPr>
          <w:sz w:val="20"/>
          <w:szCs w:val="20"/>
          <w:color w:val="auto"/>
        </w:rPr>
      </w:pPr>
      <w:r>
        <w:rPr>
          <w:rFonts w:ascii="Times New Roman" w:cs="Times New Roman" w:eastAsia="Times New Roman" w:hAnsi="Times New Roman"/>
          <w:sz w:val="14"/>
          <w:szCs w:val="14"/>
          <w:b w:val="1"/>
          <w:bCs w:val="1"/>
          <w:color w:val="auto"/>
        </w:rPr>
        <w:t>AQUESTIVE THERAPEUTICS, INC.</w:t>
      </w:r>
    </w:p>
    <w:p>
      <w:pPr>
        <w:spacing w:after="0" w:line="2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color w:val="auto"/>
        </w:rPr>
        <w:t>Statements of Cash Flows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2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r>
      <w:tr>
        <w:trPr>
          <w:trHeight w:val="171"/>
        </w:trPr>
        <w:tc>
          <w:tcPr>
            <w:tcW w:w="83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4"/>
                <w:szCs w:val="14"/>
                <w:color w:val="auto"/>
              </w:rPr>
            </w:pPr>
          </w:p>
        </w:tc>
      </w:tr>
      <w:tr>
        <w:trPr>
          <w:trHeight w:val="171"/>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80"/>
        </w:trPr>
        <w:tc>
          <w:tcPr>
            <w:tcW w:w="8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(83,784)</w:t>
            </w:r>
          </w:p>
        </w:tc>
        <w:tc>
          <w:tcPr>
            <w:tcW w:w="100" w:type="dxa"/>
            <w:vAlign w:val="bottom"/>
          </w:tcPr>
          <w:p>
            <w:pPr>
              <w:spacing w:after="0"/>
              <w:rPr>
                <w:sz w:val="15"/>
                <w:szCs w:val="15"/>
                <w:color w:val="auto"/>
              </w:rPr>
            </w:pP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(44,137)</w:t>
            </w:r>
          </w:p>
        </w:tc>
      </w:tr>
      <w:tr>
        <w:trPr>
          <w:trHeight w:val="180"/>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loss to net cash used for operating activities:</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180"/>
        </w:trPr>
        <w:tc>
          <w:tcPr>
            <w:tcW w:w="8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w:t>
            </w:r>
          </w:p>
        </w:tc>
      </w:tr>
      <w:tr>
        <w:trPr>
          <w:trHeight w:val="180"/>
        </w:trPr>
        <w:tc>
          <w:tcPr>
            <w:tcW w:w="8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7,624</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7,099</w:t>
            </w:r>
          </w:p>
        </w:tc>
      </w:tr>
      <w:tr>
        <w:trPr>
          <w:trHeight w:val="180"/>
        </w:trPr>
        <w:tc>
          <w:tcPr>
            <w:tcW w:w="8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Amortization of debt issuance costs and discounts</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10,995</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10,714</w:t>
            </w:r>
          </w:p>
        </w:tc>
      </w:tr>
      <w:tr>
        <w:trPr>
          <w:trHeight w:val="180"/>
        </w:trPr>
        <w:tc>
          <w:tcPr>
            <w:tcW w:w="8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Gain on contract termination</w:t>
            </w:r>
          </w:p>
        </w:tc>
        <w:tc>
          <w:tcPr>
            <w:tcW w:w="8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r>
      <w:tr>
        <w:trPr>
          <w:trHeight w:val="180"/>
        </w:trPr>
        <w:tc>
          <w:tcPr>
            <w:tcW w:w="8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net</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r>
      <w:tr>
        <w:trPr>
          <w:trHeight w:val="180"/>
        </w:trPr>
        <w:tc>
          <w:tcPr>
            <w:tcW w:w="8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180"/>
        </w:trPr>
        <w:tc>
          <w:tcPr>
            <w:tcW w:w="8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Trade receivables and other receivables, net</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(10,372)</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w:t>
            </w:r>
          </w:p>
        </w:tc>
      </w:tr>
      <w:tr>
        <w:trPr>
          <w:trHeight w:val="180"/>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Inventories</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r>
      <w:tr>
        <w:trPr>
          <w:trHeight w:val="180"/>
        </w:trPr>
        <w:tc>
          <w:tcPr>
            <w:tcW w:w="8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r>
      <w:tr>
        <w:trPr>
          <w:trHeight w:val="180"/>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19,523</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2,782</w:t>
            </w:r>
          </w:p>
        </w:tc>
      </w:tr>
      <w:tr>
        <w:trPr>
          <w:trHeight w:val="180"/>
        </w:trPr>
        <w:tc>
          <w:tcPr>
            <w:tcW w:w="8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3,032</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(1,492)</w:t>
            </w:r>
          </w:p>
        </w:tc>
      </w:tr>
      <w:tr>
        <w:trPr>
          <w:trHeight w:val="180"/>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revenue</w:t>
            </w:r>
          </w:p>
        </w:tc>
        <w:tc>
          <w:tcPr>
            <w:tcW w:w="8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(12,843)</w:t>
            </w:r>
          </w:p>
        </w:tc>
      </w:tr>
      <w:tr>
        <w:trPr>
          <w:trHeight w:val="171"/>
        </w:trPr>
        <w:tc>
          <w:tcPr>
            <w:tcW w:w="8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Net cash used for operating activities</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(52,432)</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(35,759)</w:t>
            </w:r>
          </w:p>
        </w:tc>
      </w:tr>
      <w:tr>
        <w:trPr>
          <w:trHeight w:val="180"/>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180"/>
        </w:trPr>
        <w:tc>
          <w:tcPr>
            <w:tcW w:w="83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Capital expenditures</w:t>
            </w: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r>
      <w:tr>
        <w:trPr>
          <w:trHeight w:val="171"/>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used for investing activities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r>
      <w:tr>
        <w:trPr>
          <w:trHeight w:val="180"/>
        </w:trPr>
        <w:tc>
          <w:tcPr>
            <w:tcW w:w="83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80"/>
        </w:trPr>
        <w:tc>
          <w:tcPr>
            <w:tcW w:w="8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issuance of common stock under public equity offering-ATM, net</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21,194</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11,783</w:t>
            </w:r>
          </w:p>
        </w:tc>
      </w:tr>
      <w:tr>
        <w:trPr>
          <w:trHeight w:val="180"/>
        </w:trPr>
        <w:tc>
          <w:tcPr>
            <w:tcW w:w="8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common stock issued under public equity offering, net</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79,460</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71,974</w:t>
            </w:r>
          </w:p>
        </w:tc>
      </w:tr>
      <w:tr>
        <w:trPr>
          <w:trHeight w:val="180"/>
        </w:trPr>
        <w:tc>
          <w:tcPr>
            <w:tcW w:w="8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exercise of warrants, net</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r>
      <w:tr>
        <w:trPr>
          <w:trHeight w:val="180"/>
        </w:trPr>
        <w:tc>
          <w:tcPr>
            <w:tcW w:w="8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shares issued under employee stock purchase plan</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80"/>
        </w:trPr>
        <w:tc>
          <w:tcPr>
            <w:tcW w:w="8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w:t>
            </w:r>
          </w:p>
        </w:tc>
      </w:tr>
      <w:tr>
        <w:trPr>
          <w:trHeight w:val="180"/>
        </w:trPr>
        <w:tc>
          <w:tcPr>
            <w:tcW w:w="8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Repayment of debt principal including lease liabilities</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80"/>
        </w:trPr>
        <w:tc>
          <w:tcPr>
            <w:tcW w:w="8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Payments for royalty obligations</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83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Payments for taxes on share-based compensation</w:t>
            </w: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(1,101)</w:t>
            </w:r>
          </w:p>
        </w:tc>
      </w:tr>
      <w:tr>
        <w:trPr>
          <w:trHeight w:val="171"/>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8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102,617</w:t>
            </w:r>
          </w:p>
        </w:tc>
        <w:tc>
          <w:tcPr>
            <w:tcW w:w="10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83,592</w:t>
            </w:r>
          </w:p>
        </w:tc>
      </w:tr>
      <w:tr>
        <w:trPr>
          <w:trHeight w:val="171"/>
        </w:trPr>
        <w:tc>
          <w:tcPr>
            <w:tcW w:w="8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49,623</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47,674</w:t>
            </w:r>
          </w:p>
        </w:tc>
      </w:tr>
      <w:tr>
        <w:trPr>
          <w:trHeight w:val="18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180"/>
        </w:trPr>
        <w:tc>
          <w:tcPr>
            <w:tcW w:w="8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Beginning of period</w:t>
            </w: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71,546</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23,872</w:t>
            </w:r>
          </w:p>
        </w:tc>
      </w:tr>
      <w:tr>
        <w:trPr>
          <w:trHeight w:val="193"/>
        </w:trPr>
        <w:tc>
          <w:tcPr>
            <w:tcW w:w="8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End of period</w:t>
            </w:r>
          </w:p>
        </w:tc>
        <w:tc>
          <w:tcPr>
            <w:tcW w:w="880" w:type="dxa"/>
            <w:vAlign w:val="bottom"/>
            <w:tcBorders>
              <w:bottom w:val="single" w:sz="8" w:color="auto"/>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121,169</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71,546</w:t>
            </w:r>
          </w:p>
        </w:tc>
      </w:tr>
      <w:tr>
        <w:trPr>
          <w:trHeight w:val="64"/>
        </w:trPr>
        <w:tc>
          <w:tcPr>
            <w:tcW w:w="83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r>
      <w:tr>
        <w:trPr>
          <w:trHeight w:val="18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80"/>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payments for interest</w:t>
            </w: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6,098</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7,097</w:t>
            </w:r>
          </w:p>
        </w:tc>
      </w:tr>
      <w:tr>
        <w:trPr>
          <w:trHeight w:val="180"/>
        </w:trPr>
        <w:tc>
          <w:tcPr>
            <w:tcW w:w="8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payments for income taxes</w:t>
            </w: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r>
      <w:tr>
        <w:trPr>
          <w:trHeight w:val="180"/>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refunds received for income taxes</w:t>
            </w: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Non-cash investing activities: capital expenditures in accounts payable</w:t>
            </w: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5"/>
                <w:szCs w:val="15"/>
                <w:color w:val="auto"/>
              </w:rPr>
            </w:pP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180"/>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Non-cash financing activities: accrued taxes on share-based compensation</w:t>
            </w: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r>
    </w:tbl>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financial statements.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3"/>
          <w:szCs w:val="13"/>
          <w:b w:val="1"/>
          <w:bCs w:val="1"/>
          <w:color w:val="auto"/>
        </w:rPr>
        <w:t>AQUESTIVE THERAPEUTICS,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Notes to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thousands, except share and per share information)</w:t>
      </w:r>
    </w:p>
    <w:p>
      <w:pPr>
        <w:spacing w:after="0" w:line="17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Note 1.</w:t>
        <w:tab/>
        <w:t>Company Overview and Equity Transactions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Company Overview</w:t>
      </w:r>
    </w:p>
    <w:p>
      <w:pPr>
        <w:spacing w:after="0" w:line="85"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4"/>
          <w:szCs w:val="14"/>
          <w:color w:val="auto"/>
        </w:rPr>
        <w:t>Aquestive Therapeutics, Inc. is a pharmaceutical company advancing medicines to bring meaningful improvement to patients’ lives through innovative science and delivery technologies. The Company is developing pharmaceutical products to deliver complex molecules through alternative administrations to invasive and inconvenient standard of care therapies. The Company is advancing a late stage non-device based epinephrine prodrug product candidate for the treatment of severe allergic reactions, including anaphylaxis, under the Anaphylm™ trade name, and its AdrenaVerse™ epinephrine prodrug pipeline platform. The Company has four licensed commercialized products which are marketed by its licensees in the U.S. and around the world. The Company is the exclusive manufacturer of these licensed products. The Company also collaborates with pharmaceutical companies to bring new molecules to market using proprietary, best-in-class technologies, like PharmFilm®, and has proven drug development and commercialization capabilities. The Company’s production facilities are located in Portage, Indiana, and its corporate headquarters and primary research laboratory facilities are based in Warren, New Jersey.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 Equity Transactions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ATM Facility</w:t>
      </w:r>
    </w:p>
    <w:p>
      <w:pPr>
        <w:spacing w:after="0" w:line="85"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4"/>
          <w:szCs w:val="14"/>
          <w:color w:val="auto"/>
        </w:rPr>
        <w:t>The Company established its first ATM facility in September 2019, and since inception to December 31, 2025, the Company has sold 27,315,145 shares of Common Stock under its ATM Facility which has generated net cash proceeds of approximately $81,753, net of commissions and other transactions costs of $3,890. On April 3, 2024, the Company filed a new shelf registration statement on Form S-3, the 2024 Registration Statement, which was declared effective by the SEC on April 23, 2024. Included in the 2024 Registration Statement are (i) a base prospectus registering the offer, issuance and sale of up to $250,000 worth of Common Stock, preferred stock, debt securities, warrants, rights and units and (ii) a $100,000 ATM facility prospectus. For the year ended December 31, 2025, the Company sold 7,457,627 shares of Common Stock pursuant to the ATM prospectus and the Amended Equity Distribution Agreement with Piper Sandler &amp; Co. (successor to Piper Jaffray &amp; Co.), which provided net proceeds of approximately $21,229, after deducting commissions and other transaction costs of $771. For the year ended December 31, 2024, the Company sold 4,557,220 shares which provided net proceeds of approximately $11,821 after deducting commissions and other transaction costs of $564. The remaining authorized balance of the ATM facility was $78,000 as of December 31, 2025.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Underwritten Public Offerings</w:t>
      </w:r>
    </w:p>
    <w:p>
      <w:pPr>
        <w:spacing w:after="0" w:line="85"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On March 22, 2024, the Company completed an underwritten public offering of 16,666,667 shares of its common stock at the public offering price of $4.50 per share. In addition, pursuant to the partial exercise of the underwriters' option, on April 22, 2024, the Company sold an additional 559,801 shares of Common Stock. Net proceeds from the 2024 Underwritten Public Offering, including the exercise of underwriters' option were $72,868, after deducting underwriting discounts of $4,651. In addition to the underwriting discounts related to this offering, the Company incurred professional fees and other costs totaling $894.</w:t>
      </w:r>
    </w:p>
    <w:p>
      <w:pPr>
        <w:spacing w:after="0" w:line="56"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4"/>
          <w:szCs w:val="14"/>
          <w:color w:val="auto"/>
        </w:rPr>
        <w:t>On August 14, 2025, the Company completed an underwritten public offering of 21,250,000 shares of its common stock at the public offering price of $4.00 per share. Net proceeds from the 2025 Underwritten Public Offering were $79,900, after deducting underwriting discounts of $5,100. In addition to the underwriting discounts related to this offering, the Company incurred professional fees and other costs totaling $440.</w:t>
      </w:r>
    </w:p>
    <w:p>
      <w:pPr>
        <w:spacing w:after="0" w:line="6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4"/>
          <w:szCs w:val="14"/>
          <w:b w:val="1"/>
          <w:bCs w:val="1"/>
          <w:color w:val="auto"/>
        </w:rPr>
        <w:t>Note 2.</w:t>
        <w:tab/>
        <w:t>Basis of Presentation and Principles of Consolidation</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These financial statements have been prepared in accordance with GAAP in the United States of America, and in accordance with the rules and regulations of the SEC. Certain reclassifications were made to conform to the current year presentation. As of March 31, 2024, the Company dissolved its subsidiaries and no longer prepares its financial statements on a consolidated basis. The dissolution of the subsidiaries did not have a material impact on the Company’s financial statements as of December 31, 2025 and 2024.</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Any reference in these notes to applicable guidance is meant to refer to the authoritative United States generally accepted accounting principles as found in the ASC and ASU of FASB.</w:t>
      </w:r>
    </w:p>
    <w:p>
      <w:pPr>
        <w:spacing w:after="0" w:line="9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Note 3.</w:t>
        <w:tab/>
        <w:t>Summary of Significant Accounting Policies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9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GAAP requires the use of estimates and assumptions that affect the reported amounts of assets and liabilities, including disclosure of contingent assets and contingent liabilities, at the date of the financial statements and the reported amounts of revenues and expenses during the reporting period. These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94" w:name="page95"/>
    <w:bookmarkEnd w:id="94"/>
    <w:p>
      <w:pPr>
        <w:jc w:val="both"/>
        <w:spacing w:after="0" w:line="270" w:lineRule="auto"/>
        <w:rPr>
          <w:sz w:val="20"/>
          <w:szCs w:val="20"/>
          <w:color w:val="auto"/>
        </w:rPr>
      </w:pPr>
      <w:r>
        <w:rPr>
          <w:rFonts w:ascii="Times New Roman" w:cs="Times New Roman" w:eastAsia="Times New Roman" w:hAnsi="Times New Roman"/>
          <w:sz w:val="14"/>
          <w:szCs w:val="14"/>
          <w:color w:val="auto"/>
        </w:rPr>
        <w:t>estimates and assumptions often involve assessments of matters that are inherently uncertain and accordingly actual results could differ from those estimates. Significant items subject to estimates and assumptions include those related to revenue recognition, inventory costs, allowances for rebates from proprietary product sales of Libervant for patients between two to five years of age, allowances for sales returns, the useful lives of fixed assets and the valuations of royalty obligations, sale of future revenues, share-based compensation, and contingencies.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9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 considers all short-term, highly liquid investments purchased with original maturities of three months or less to be cash equivalents. At December 31, 2025 and 2024, cash and cash equivalents consisted of cash in bank accounts, Treasury bills and money market Treasury mutual funds.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w:t>
      </w:r>
    </w:p>
    <w:p>
      <w:pPr>
        <w:spacing w:after="0" w:line="9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Cash and cash equivalents are held and managed by multiple financial institutions that management believes are of high credit quality. The Company has not experienced any losses in such accounts and such amounts may exceed federally-insured limits of $250.</w:t>
      </w:r>
    </w:p>
    <w:p>
      <w:pPr>
        <w:spacing w:after="0" w:line="37" w:lineRule="exact"/>
        <w:rPr>
          <w:sz w:val="20"/>
          <w:szCs w:val="20"/>
          <w:color w:val="auto"/>
        </w:rPr>
      </w:pPr>
    </w:p>
    <w:p>
      <w:pPr>
        <w:ind w:right="2260" w:firstLine="509"/>
        <w:spacing w:after="0" w:line="381" w:lineRule="auto"/>
        <w:rPr>
          <w:sz w:val="20"/>
          <w:szCs w:val="20"/>
          <w:color w:val="auto"/>
        </w:rPr>
      </w:pPr>
      <w:r>
        <w:rPr>
          <w:rFonts w:ascii="Times New Roman" w:cs="Times New Roman" w:eastAsia="Times New Roman" w:hAnsi="Times New Roman"/>
          <w:sz w:val="14"/>
          <w:szCs w:val="14"/>
          <w:color w:val="auto"/>
        </w:rPr>
        <w:t xml:space="preserve">Concentration of the Company’s significant customers as of December 31, 2025 and 2024 is outlined in Note 6, </w:t>
      </w:r>
      <w:r>
        <w:rPr>
          <w:rFonts w:ascii="Times New Roman" w:cs="Times New Roman" w:eastAsia="Times New Roman" w:hAnsi="Times New Roman"/>
          <w:sz w:val="14"/>
          <w:szCs w:val="14"/>
          <w:i w:val="1"/>
          <w:iCs w:val="1"/>
          <w:color w:val="auto"/>
        </w:rPr>
        <w:t>Revenues and Trade Receivables, Net.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Trade Accounts Receivable</w:t>
      </w: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Trade accounts receivable are recorded at the invoiced amount and do not bear interest. The Company grants credit to customers in the normal course of business, but generally does not require collateral or any other security to support its receivables. The Company’s credit terms generally range from 30 to 60 days, depending on the customer and type of invoice.</w:t>
      </w:r>
    </w:p>
    <w:p>
      <w:pPr>
        <w:spacing w:after="0" w:line="39"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The Company maintains an allowance for credit losses on accounts receivable, which is recorded as a reduction to accounts receivable. Changes in the allowance are classified as Selling, general and administrative expenses in the Statements of Operations and Comprehensive Loss. The Company assesses collectability by reviewing accounts receivable on a collective basis where similar characteristics exist and on an individual basis when it identifies specific customers with known disputes or collectability issues. In determining the amount of the allowance for credit losses, the Company considers historical collectability based on past due status. It also considers customer-specific information, current market conditions and reasonable and supportable forecasts of future economic conditions to inform adjustments to historical loss data. On an ongoing basis, management evaluates the adequacy of these reserves. The allowance for credit losses was $0 as of December 31, 2025 and 2024.</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Inventories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Inventories, consisting of purchased materials, direct labor and manufacturing overhead, are stated at the lower of cost, determined by the first-in, first-out method, or net realizable value.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regularly reviews its inventories for impairment and reserves are established when necessary.</w:t>
      </w:r>
    </w:p>
    <w:p>
      <w:pPr>
        <w:spacing w:after="0" w:line="79"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At each balance sheet date, the Company evaluates inventories for excess quantities, obsolescence and shelf life expiration. This evaluation includes analysis of historical sales levels by product, projections of future demand, the risk of competitive obsolescence for products, general market conditions, and a review of the shelf life expiration dates for products. To the extent that management determines there are excess or obsolete inventory or quantities with a shelf life that is too near its expiration for the Company to reasonably expect that it can sell those products, or use them in production, prior to their expiration, the Company records allowances to adjust the carrying value to estimated net realizable value as necessary. The Company expenses inventory related to the Company’s R&amp;D activities when the Company purchases or manufactures it. Before the regulatory approval of the Company’s product candidates, the Company recognizes R&amp;D expense for the manufacture of drug products that could potentially be available to support the commercial launch of the Company’s drug candidates, if approved by regulatory authorities.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9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Property and equipment are stated at cost net of accumulated depreciation and amortization, which is computed by the straight-line method based on the estimated useful lives of the respective assets, as discussed below. Leasehold improvements are amortized over the shorter of the lease terms or the estimated useful lives of the leased assets. Maintenance and repair costs are charged to expense as incurred, and expenditures for major renewals and improvements are capitalized. Upon disposition of property and equipment, the related cost and accumulated depreciation and amortization are removed from the accounts, and any gain or loss is reflected in the Statements of Operations and Comprehensive Loss.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i w:val="1"/>
          <w:iCs w:val="1"/>
          <w:color w:val="auto"/>
        </w:rPr>
        <w:t>Intangible Assets</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 xml:space="preserve">Intangible assets included the costs of acquired composition and process technologies, the costs of purchased patents used in the manufacture of orally soluble film and the costs of acquired NDA. The Company amortized these assets using the straight-line method over the shorter of their legal lives or estimated useful lives. As of December 31, 2025 and 2024, the balance of the Company's intangible assets was zero, see Note 12, </w:t>
      </w:r>
      <w:r>
        <w:rPr>
          <w:rFonts w:ascii="Times New Roman" w:cs="Times New Roman" w:eastAsia="Times New Roman" w:hAnsi="Times New Roman"/>
          <w:sz w:val="14"/>
          <w:szCs w:val="14"/>
          <w:i w:val="1"/>
          <w:iCs w:val="1"/>
          <w:color w:val="auto"/>
        </w:rPr>
        <w:t>Intangible Assets, Net</w:t>
      </w:r>
      <w:r>
        <w:rPr>
          <w:rFonts w:ascii="Times New Roman" w:cs="Times New Roman" w:eastAsia="Times New Roman" w:hAnsi="Times New Roman"/>
          <w:sz w:val="14"/>
          <w:szCs w:val="14"/>
          <w:color w:val="auto"/>
        </w:rPr>
        <w:t xml:space="preserve"> for additional information.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 of Long-Lived Assets</w:t>
      </w:r>
    </w:p>
    <w:p>
      <w:pPr>
        <w:spacing w:after="0" w:line="9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Long lived assets, such as property, plant, and equipment, are reviewed for impairment whenever events or changes in circumstances indicate that the carrying amount of an asset may not be recoverable. In these circumstances, the Company compares undiscounted cash flows expected to be generated by that asset or asset group to the corresponding carrying amounts. If this comparison is indicative of impairment, an impairment charge is recognized to the extent that the carrying amount exceeds its fair value. Fair value is determined through various valuation techniques including discounted cash flow models, quoted market values and third-party independent appraisals, as considered most appropriate. No impairment was recognized for the years ended December 31, 2025 and 2024.</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9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Determination if an arrangement is a lease is made at inception. An arrangement is determined to contain a lease if the contract conveys the right to control the use of an identified property and equipment for a period of time in exchange for consideration. If the Company can benefit from the various underlying assets of a lease on their own or together with other resources that are readably available, or if the various underlying assets are neither highly dependent nor highly interrelated with underlying assets in the arrangements, they are considered to be a separate lease component. In the event multiple underlying assets are identified, the lease consideration is allocated to the various components based on each on the component’s relative fair value.</w:t>
      </w:r>
    </w:p>
    <w:p>
      <w:pPr>
        <w:spacing w:after="0" w:line="5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Operating lease assets represent the Company's right to use an underlying asset for the lease term and operating lease liabilities represent an obligation to make lease payments arising from the lease arrangement. Operating lease assets and operating lease liabilities are recognized at commencement date based on the present value of lease payments over the lease term. As most of the Company’s leases do not provide an implicit rate, in determining the operating lease liability, the Company uses an estimate of its incremental borrowing rate. The calculation of the operating lease assets includes any lease payments made and excludes any lease incentives. Our lease terms may include options to extend or terminate the lease and are included when it is reasonably certain that the Company will exercise the option.</w:t>
      </w:r>
    </w:p>
    <w:p>
      <w:pPr>
        <w:spacing w:after="0" w:line="5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records operating lease assets and lease liabilities in its Balance Sheets. Lease expenses for lease payments are recognized on a straight-line bases over the lease term. Short-term leases, or leases that have a lease term of 12 months or less at consummation date, are excluded from this treatment and are recognized on a straight-line basis over the term of the lease. Commitments under finance leases are not significant, and are included in Property and equipment, net; Loans payable, current and Notes payable, net on the Balance Sheets.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Royalty Obligations, net</w:t>
      </w:r>
    </w:p>
    <w:p>
      <w:pPr>
        <w:spacing w:after="0" w:line="9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 xml:space="preserve">On November 1, 2023, in connection with the issuance of the 13.5% Notes, the Company and the Note Holders entered into the Royalty Rights Agreements, which provide the Note Holders a tiered royalty between 1.0% and 2.0% of annual worldwide net sales of Anaphylm (epinephrine) Sublingual Film for a period of eight years from the first sale of Anaphylm on a global basis. The Note Holders are also entitled to a tiered royalty between 1.0% to 2.0% of annual worldwide net sales of Libervant (diazepam) Buccal Film until the earlier of (1) the first sale of Anaphylm and (2) eight years from the first sale of Libervant. The Royalty Rights Agreements are classified as debt, and the value of the $45,000 13.5% Notes has been allocated between debt and the royalty obligations based on their relative fair market values. The fair value of the royalty obligation is being amortized over the life of the Royalty Rights Agreements and such amortization is reflected as interest expense related to royalty obligations in the Statements of Operations and Comprehensive Loss. The 13.5% Notes are discussed in Note 15,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i w:val="1"/>
          <w:iCs w:val="1"/>
          <w:color w:val="auto"/>
        </w:rPr>
        <w:t>Liability Related to the Sale of Future Revenue</w:t>
      </w:r>
    </w:p>
    <w:p>
      <w:pPr>
        <w:spacing w:after="0" w:line="9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 xml:space="preserve">The Company treats the liability related to the sale of future revenue as debt financing, amortized under the effective interest rate method over the estimated life of the related expected royalty stream. The liability related to the sale of future revenue and the related interest expense are based on its current estimates of future royalties expected to be paid over the life of the arrangement. The Company periodically assesses the expected royalty payments using a combination of internal projections and forecasts from external resources. To the extent its future estimates of royalty payments are greater or less than previous estimates or the timing of such payments is materially different than its previous estimates, the Company will prospectively recognize related interest expense. Amortization of debt is reflected as interest expense related to the sale of future revenue in the Statements of Operations and Comprehensive Loss. For further discussion of the sale of the future revenue, see Note 17, </w:t>
      </w:r>
      <w:r>
        <w:rPr>
          <w:rFonts w:ascii="Times New Roman" w:cs="Times New Roman" w:eastAsia="Times New Roman" w:hAnsi="Times New Roman"/>
          <w:sz w:val="14"/>
          <w:szCs w:val="14"/>
          <w:i w:val="1"/>
          <w:iCs w:val="1"/>
          <w:color w:val="auto"/>
        </w:rPr>
        <w:t>Sale of Future Revenue.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96"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4"/>
          <w:szCs w:val="14"/>
          <w:color w:val="auto"/>
        </w:rPr>
        <w:t>The Company’s revenues include (i) sales of manufactured products pursuant to contracts with commercialization licensees, (ii) license and royalty revenues, (iii) co-development and research fees generally in the form of milestone payments, and (iv) sales of its proprietary CNS product, Libervant, for patients between two to five years of age while Libervant had U.S. market access through April 2025. The Company recognizes revenue to reflect the transfer of promised goods or services to customers in an amount that reflects the consideration to which the Company expects to be entitled in exchange for those goods or services. To achieve this core principle, a five-step model is applied that includes (1) identifying the contract with a customer, (2) identifying the performance obligation in the contract, (3) determining the transaction price, (4) allocating the transaction price to the performance obligations, and (5) recognizing when, or as, an entity satisfies a performance obligation.</w:t>
      </w:r>
    </w:p>
    <w:p>
      <w:pPr>
        <w:spacing w:after="0" w:line="229"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Performance Obligations </w:t>
      </w:r>
      <w:r>
        <w:rPr>
          <w:rFonts w:ascii="Times New Roman" w:cs="Times New Roman" w:eastAsia="Times New Roman" w:hAnsi="Times New Roman"/>
          <w:sz w:val="14"/>
          <w:szCs w:val="14"/>
          <w:color w:val="auto"/>
        </w:rPr>
        <w:t>- a performance obligation is a promise in a contract to transfer a distinct good or service to the customer and is the unit of account in the current revenue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recognition standard. A contract’s transaction price is allocated to each distinct performance obligation and recognized as revenue when, or as, the performance obligation is satisfied. At contract inception, the Company assesses the goods promised in its contracts with customers and identifies a performance obligation for each promise to transfer to the customer a distinct good. When identifying performance obligations, the Company considers all goods or services promised in a contract regardless of whether explicitly stated in the contract or implied by customary business practice. The Company’s performance obligations consist mainly of transferring goods and services identified in the contracts, purchase orders, invoices or statements of work.</w:t>
      </w:r>
    </w:p>
    <w:p>
      <w:pPr>
        <w:spacing w:after="0" w:line="55"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Manufacture and supply revenue </w:t>
      </w:r>
      <w:r>
        <w:rPr>
          <w:rFonts w:ascii="Times New Roman" w:cs="Times New Roman" w:eastAsia="Times New Roman" w:hAnsi="Times New Roman"/>
          <w:sz w:val="14"/>
          <w:szCs w:val="14"/>
          <w:color w:val="auto"/>
        </w:rPr>
        <w:t>– this revenue is derived from products manufactured exclusively for specific customers according to their strictly-defined specifications, subject only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specified quality control inspections. Accordingly, at the point in time when quality control requirements are satisfied, revenue net of related discounts is recorded.</w:t>
      </w:r>
    </w:p>
    <w:p>
      <w:pPr>
        <w:spacing w:after="0" w:line="3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i w:val="1"/>
          <w:iCs w:val="1"/>
          <w:color w:val="auto"/>
        </w:rPr>
        <w:t>License and Royalty Revenu</w:t>
      </w:r>
      <w:r>
        <w:rPr>
          <w:rFonts w:ascii="Times New Roman" w:cs="Times New Roman" w:eastAsia="Times New Roman" w:hAnsi="Times New Roman"/>
          <w:sz w:val="14"/>
          <w:szCs w:val="14"/>
          <w:color w:val="auto"/>
        </w:rPr>
        <w:t>e – license revenues are determined based on an assessment of whether the license is distinct from any other performance obligations that may be included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underlying licensing arrangement. If the customer is able to benefit from the license without provision of any other performance obligations by the Company and the license is thereby viewed as a distinct or functional license, the Company then determines whether the customer has acquired a right to use the license or a right to access the license. For functional licenses that do not require further development or other ongoing activities by the Company, the customer is viewed as acquiring the right to use the license as, and when, transferred and revenues are generally recorded at a point in time, subject to contingencies or constraints. For symbolic licenses providing substantial value only in conjunction with other performance obligations to be provided by the Company, revenues are generally recorded over the term of the license agreement. Such other obligations provided by the Company generally include manufactured products, additional development services or other deliverables that are contracted to be provided during the license term. Payments received in excess of amounts ratably or otherwise earned are deferred and recognized over the term of the license or as contingencies or other performance obligations are met.</w:t>
      </w:r>
    </w:p>
    <w:p>
      <w:pPr>
        <w:spacing w:after="0" w:line="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Royalty revenue is estimated and recognized when sales under supply agreements with commercial licensees are recorded, absent any contractual constraints or collectability uncertainties.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Royalties based on sales of licensed products have been recorded in this manner.</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Revenue recognition arising from milestone payments is dependent upon the facts and circumstances surrounding the milestone payments. Milestone payments based on a non-sales metric such as a development-based milestone (i</w:t>
      </w:r>
      <w:r>
        <w:rPr>
          <w:rFonts w:ascii="Times New Roman" w:cs="Times New Roman" w:eastAsia="Times New Roman" w:hAnsi="Times New Roman"/>
          <w:sz w:val="14"/>
          <w:szCs w:val="14"/>
          <w:i w:val="1"/>
          <w:iCs w:val="1"/>
          <w:color w:val="auto"/>
        </w:rPr>
        <w:t>.e</w:t>
      </w:r>
      <w:r>
        <w:rPr>
          <w:rFonts w:ascii="Times New Roman" w:cs="Times New Roman" w:eastAsia="Times New Roman" w:hAnsi="Times New Roman"/>
          <w:sz w:val="14"/>
          <w:szCs w:val="14"/>
          <w:color w:val="auto"/>
        </w:rPr>
        <w:t>., an NDA filing or obtaining regulatory approval) represent variable consideration and are included in the transaction price subject to any constraints. If the milestone payments relate to future development, the timing of recognition depends upon historical experience and the significance a third party has on the outcome. For milestone payments to be received upon the achievement of a sales threshold, the revenue from the milestone payments is recognized at the later of when the actual sales occur or the performance obligation to which the sales relate to has been satisfied.</w:t>
      </w:r>
    </w:p>
    <w:p>
      <w:pPr>
        <w:spacing w:after="0" w:line="56"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Co-development and Research Fees </w:t>
      </w:r>
      <w:r>
        <w:rPr>
          <w:rFonts w:ascii="Times New Roman" w:cs="Times New Roman" w:eastAsia="Times New Roman" w:hAnsi="Times New Roman"/>
          <w:sz w:val="14"/>
          <w:szCs w:val="14"/>
          <w:color w:val="auto"/>
        </w:rPr>
        <w:t>– co-development and research fees are earned through performance of specific tasks, activities or completion of stages of development defined within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contractual development or feasibility study agreement</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97" w:name="page98"/>
    <w:bookmarkEnd w:id="97"/>
    <w:p>
      <w:pPr>
        <w:jc w:val="both"/>
        <w:spacing w:after="0" w:line="261" w:lineRule="auto"/>
        <w:rPr>
          <w:sz w:val="20"/>
          <w:szCs w:val="20"/>
          <w:color w:val="auto"/>
        </w:rPr>
      </w:pPr>
      <w:r>
        <w:rPr>
          <w:rFonts w:ascii="Times New Roman" w:cs="Times New Roman" w:eastAsia="Times New Roman" w:hAnsi="Times New Roman"/>
          <w:sz w:val="14"/>
          <w:szCs w:val="14"/>
          <w:color w:val="auto"/>
        </w:rPr>
        <w:t>with a customer. The nature of these performance obligations, broadly referred to as milestones or deliverables, are usually dependent on the scope and structure of the project as contracted, as well as the complexity of the product and the specific regulatory approval path necessary for that product. Accordingly, the duration of the Company’s R&amp;D projects may range from several months to approximately three years. Although each contractual arrangement is unique, common milestones included in these arrangements include those for the performance of efficacy and other tests, reports of findings, formulation of initial prototypes, production of stability clinical and/or scale-up batches, and stability testing of those batches. Additional milestones may be established and linked to clinical results of the product submission and/or approval of the product by the FDA and the commercial launch of the product.</w:t>
      </w:r>
    </w:p>
    <w:p>
      <w:pPr>
        <w:spacing w:after="0" w:line="56"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Proprietary product revenue, net </w:t>
      </w:r>
      <w:r>
        <w:rPr>
          <w:rFonts w:ascii="Times New Roman" w:cs="Times New Roman" w:eastAsia="Times New Roman" w:hAnsi="Times New Roman"/>
          <w:sz w:val="14"/>
          <w:szCs w:val="14"/>
          <w:color w:val="auto"/>
        </w:rPr>
        <w:t>- this net revenue is recognized when product is shipped and title passes to the customer, typically at time of delivery. At the time of sale, estimates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various revenue allowances are recorded based on historical trends and judgmental estimates. For sales of Libervant for patients between two to five years of age while Libervant had U.S. market access through April 2025, returns allowances and prompt pay discounts are estimated based on contract terms and historical return rates, if available, and these estimates are recorded as a reduction of receivables. Once receivables are collected, allowances are reclassified and treated as accrued liabilities. Similarly determined estimates are recorded relating to wholesaler service fees, co-pay support redemptions, and other rebates, and these estimates are reflected as a component of accrued liabilities. Once related variable considerations are resolved and uncertainties as to incurred amounts are eliminated, estimates are adjusted to actual allowance amounts. Provisions for these estimated amounts are reviewed and adjusted on no less than a quarterly basis.</w:t>
      </w:r>
    </w:p>
    <w:p>
      <w:pPr>
        <w:spacing w:after="0" w:line="57"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Contract Assets </w:t>
      </w:r>
      <w:r>
        <w:rPr>
          <w:rFonts w:ascii="Times New Roman" w:cs="Times New Roman" w:eastAsia="Times New Roman" w:hAnsi="Times New Roman"/>
          <w:sz w:val="14"/>
          <w:szCs w:val="14"/>
          <w:color w:val="auto"/>
        </w:rPr>
        <w:t>- in certain situations, customer contractual payment terms provide for invoicing in arrears. Accordingly, some or all performance obligations may be completely satisfied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before the customer may be invoiced under such agreements. In these situations, billing occurs after revenue recognition, which results in a contract asset supported by the estimated value of the completed portion of the performance obligation. These contract assets are reflected as a component of other receivables within Trade and other receivables, net within the Balance Sheets. As of December 31, 2025 and 2024, such contract assets were $627 and $578, respectively, consisting primarily of products and services provided under specific contracts to customers for which earnings processes have been met prior to shipment of goods or full delivery of completed services, as well as estimated receivables from contracts with third parties.</w:t>
      </w:r>
    </w:p>
    <w:p>
      <w:pPr>
        <w:spacing w:after="0" w:line="55"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Contract Liabilities </w:t>
      </w:r>
      <w:r>
        <w:rPr>
          <w:rFonts w:ascii="Times New Roman" w:cs="Times New Roman" w:eastAsia="Times New Roman" w:hAnsi="Times New Roman"/>
          <w:sz w:val="14"/>
          <w:szCs w:val="14"/>
          <w:color w:val="auto"/>
        </w:rPr>
        <w:t>- in certain situations, customer contractual payment terms are structured to permit invoicing in advance of delivery of a good or service. In such instances,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customer’s cash payment may be received before satisfaction of some, or any, performance obligations that are specified. In these situations, billing occurs in advance of revenue recognition, which results in contract liabilities. These contract liabilities are reflected as deferred revenue within the Balance Sheets. As remaining performance obligations are satisfied, an appropriate portion of the deferred revenue balance is credited to earnings. As of December 31, 2025 and 2024, such contract liabilities were $20,482 and $21,053, respectively.</w:t>
      </w:r>
    </w:p>
    <w:p>
      <w:pPr>
        <w:spacing w:after="0" w:line="4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4"/>
          <w:szCs w:val="14"/>
          <w:i w:val="1"/>
          <w:iCs w:val="1"/>
          <w:color w:val="auto"/>
        </w:rPr>
        <w:t xml:space="preserve">Costs to Obtain Contracts </w:t>
      </w:r>
      <w:r>
        <w:rPr>
          <w:rFonts w:ascii="Times New Roman" w:cs="Times New Roman" w:eastAsia="Times New Roman" w:hAnsi="Times New Roman"/>
          <w:sz w:val="14"/>
          <w:szCs w:val="14"/>
          <w:color w:val="auto"/>
        </w:rPr>
        <w:t>- in certain situations, the Company may incur incremental costs of obtaining a contract with a customer. These costs, if expected to be recovered, are recognized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 an asset and reflected as other assets within the Balance Sheets. The asset is amortized on a systematic basis that is consistent with the transfer to the customer of the goods or services to which the asset relates. As of December 31, 2025 and 2024, such costs to obtain contracts were $449 and $480, respectively.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94"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 xml:space="preserve">R&amp;D expenses are recorded in accordance with ASC 730, </w:t>
      </w:r>
      <w:r>
        <w:rPr>
          <w:rFonts w:ascii="Times New Roman" w:cs="Times New Roman" w:eastAsia="Times New Roman" w:hAnsi="Times New Roman"/>
          <w:sz w:val="14"/>
          <w:szCs w:val="14"/>
          <w:i w:val="1"/>
          <w:iCs w:val="1"/>
          <w:color w:val="auto"/>
        </w:rPr>
        <w:t>Research and Development</w:t>
      </w:r>
      <w:r>
        <w:rPr>
          <w:rFonts w:ascii="Times New Roman" w:cs="Times New Roman" w:eastAsia="Times New Roman" w:hAnsi="Times New Roman"/>
          <w:sz w:val="14"/>
          <w:szCs w:val="14"/>
          <w:color w:val="auto"/>
        </w:rPr>
        <w:t xml:space="preserve"> and are expensed as incurred. R&amp;D expenses include R&amp;D activities, services of external CROs, costs of their clinical research sites, scale-up and validation costs, and other activities. Internal R&amp;D activity expenses include laboratory supplies, salaries, benefits, and non-cash share-based compensation expenses. CROs activities include preclinical laboratory experiments and clinical studies. Other activity expenses include regulatory consulting and other costs. The activities undertaken by regulatory consultants that were classified as R&amp;D expense include assisting, communicating with, and advise its in-house staff with respect to various FDA submission processes, clinical trial processes and scientific writing matters, including preparing protocols and FDA submissions. These consulting expenses were direct costs associated with preparing, receiving and understanding work for its clinical trials and investigative drugs. Payments made to CROs based on agreed-upon terms, which may include payments in advance of a study start date. The Company expenses non-refundable advance payments for goods and services that will be used in future R&amp;D activities when the activity has been performed or when goods or services have been received rather than when payment was made. The Company reviews and accrues CROs expenses and clinical trial study expenses based on services performed and rely on estimates of those costs applicable to the completion state of study as provided by CROs. Estimated CROs costs subject to revisions as such studies progress to completion. The Company charges revisions to expense in the period when the facts that give rise to the revision become known.</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94"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4"/>
          <w:szCs w:val="14"/>
          <w:color w:val="auto"/>
        </w:rPr>
        <w:t xml:space="preserve">Income taxes are recorded in accordance with FASB ASC Topic 740,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or ASC 740, which provides for deferred taxes using an asset and liability approach. Deferred tax assets and liabilities are recognized for the future tax consequences attributable to differences between the financial statement carrying amounts of existing assets and liabilities and their respective tax bases using enacted tax rates in effect for the year in which the differences are expected to affect taxable income. Tax benefits are recognized when it is more likely than not that a tax position will be sustained during an audit. Valuation allowances are provided if, based upon the weight of available evidence, it is more likely than not that some or all of the deferred tax assets will not be realized.</w:t>
      </w:r>
    </w:p>
    <w:p>
      <w:pPr>
        <w:spacing w:after="0" w:line="55"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Uncertain tax positions are accounted for in accordance with the provision of ASC 740. When uncertain tax positions exist, the tax benefit is recognized to the extent that the benefit will more likely than not be realized. The determination as to whether the tax benefit will more likely than not be realized is based upon the technical merits of the tax position, as well as consideration of the available facts and circumstances. To date, the Company has not had any significant uncertain tax positions.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Share-Based Compensation</w:t>
      </w:r>
    </w:p>
    <w:p>
      <w:pPr>
        <w:spacing w:after="0" w:line="94"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4"/>
          <w:szCs w:val="14"/>
          <w:color w:val="auto"/>
        </w:rPr>
        <w:t xml:space="preserve">The Company records share-based compensation expenses for awards of stock options and RSUs under ASC 718, </w:t>
      </w:r>
      <w:r>
        <w:rPr>
          <w:rFonts w:ascii="Times New Roman" w:cs="Times New Roman" w:eastAsia="Times New Roman" w:hAnsi="Times New Roman"/>
          <w:sz w:val="14"/>
          <w:szCs w:val="14"/>
          <w:i w:val="1"/>
          <w:iCs w:val="1"/>
          <w:color w:val="auto"/>
        </w:rPr>
        <w:t>Compensation — Stock Compensation</w:t>
      </w:r>
      <w:r>
        <w:rPr>
          <w:rFonts w:ascii="Times New Roman" w:cs="Times New Roman" w:eastAsia="Times New Roman" w:hAnsi="Times New Roman"/>
          <w:sz w:val="14"/>
          <w:szCs w:val="14"/>
          <w:color w:val="auto"/>
        </w:rPr>
        <w:t xml:space="preserve">. For awards to non-employees for periods prior to the adoption of ASU 2018-07, </w:t>
      </w:r>
      <w:r>
        <w:rPr>
          <w:rFonts w:ascii="Times New Roman" w:cs="Times New Roman" w:eastAsia="Times New Roman" w:hAnsi="Times New Roman"/>
          <w:sz w:val="14"/>
          <w:szCs w:val="14"/>
          <w:i w:val="1"/>
          <w:iCs w:val="1"/>
          <w:color w:val="auto"/>
        </w:rPr>
        <w:t>Compensation-Stock Compensation: Improvements to Non-employee Share-Based Payment Accounting,</w:t>
      </w:r>
      <w:r>
        <w:rPr>
          <w:rFonts w:ascii="Times New Roman" w:cs="Times New Roman" w:eastAsia="Times New Roman" w:hAnsi="Times New Roman"/>
          <w:sz w:val="14"/>
          <w:szCs w:val="14"/>
          <w:color w:val="auto"/>
        </w:rPr>
        <w:t xml:space="preserve"> on January 1, 2019, the Company had applied ASC 505-50, </w:t>
      </w:r>
      <w:r>
        <w:rPr>
          <w:rFonts w:ascii="Times New Roman" w:cs="Times New Roman" w:eastAsia="Times New Roman" w:hAnsi="Times New Roman"/>
          <w:sz w:val="14"/>
          <w:szCs w:val="14"/>
          <w:i w:val="1"/>
          <w:iCs w:val="1"/>
          <w:color w:val="auto"/>
        </w:rPr>
        <w:t>Equity-based Payments to Non-Employees</w:t>
      </w:r>
      <w:r>
        <w:rPr>
          <w:rFonts w:ascii="Times New Roman" w:cs="Times New Roman" w:eastAsia="Times New Roman" w:hAnsi="Times New Roman"/>
          <w:sz w:val="14"/>
          <w:szCs w:val="14"/>
          <w:color w:val="auto"/>
        </w:rPr>
        <w:t>. ASC 718 establishes guidance for the recognition of expenses arising from the issuance of stock-based compensation awards at their fair value at the grant date.</w:t>
      </w:r>
    </w:p>
    <w:p>
      <w:pPr>
        <w:spacing w:after="0" w:line="55"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Company’s stock-based compensation includes grants of stock options and RSUs to employees, consultants and non-employee directors. Beginning in 2019, the Company also offered employees an opportunity to participate in an employee stock purchase plan.</w:t>
      </w:r>
    </w:p>
    <w:p>
      <w:pPr>
        <w:spacing w:after="0" w:line="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Company’s estimates of the fair value of options at their grant dates are based on the Black-Scholes option valuation model and considers various variables and assumptions, including:</w:t>
      </w:r>
    </w:p>
    <w:p>
      <w:pPr>
        <w:spacing w:after="0" w:line="94" w:lineRule="exact"/>
        <w:rPr>
          <w:sz w:val="20"/>
          <w:szCs w:val="20"/>
          <w:color w:val="auto"/>
        </w:rPr>
      </w:pPr>
    </w:p>
    <w:p>
      <w:pPr>
        <w:ind w:left="380" w:hanging="248"/>
        <w:spacing w:after="0"/>
        <w:tabs>
          <w:tab w:leader="none" w:pos="3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price at the grant date,</w:t>
      </w:r>
    </w:p>
    <w:p>
      <w:pPr>
        <w:spacing w:after="0" w:line="93"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exercise price,</w:t>
      </w:r>
    </w:p>
    <w:p>
      <w:pPr>
        <w:spacing w:after="0" w:line="93"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both the contractual and estimated expected term of the option,</w:t>
      </w:r>
    </w:p>
    <w:p>
      <w:pPr>
        <w:spacing w:after="0" w:line="93"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estimate of stock price volatility based on that of an industry peer group,</w:t>
      </w:r>
    </w:p>
    <w:p>
      <w:pPr>
        <w:spacing w:after="0" w:line="93"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dividends, if any, and</w:t>
      </w:r>
    </w:p>
    <w:p>
      <w:pPr>
        <w:spacing w:after="0" w:line="93"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risk-free interest rate.</w:t>
      </w:r>
    </w:p>
    <w:p>
      <w:pPr>
        <w:spacing w:after="0" w:line="94" w:lineRule="exact"/>
        <w:rPr>
          <w:sz w:val="20"/>
          <w:szCs w:val="20"/>
          <w:color w:val="auto"/>
        </w:rPr>
      </w:pPr>
    </w:p>
    <w:p>
      <w:pPr>
        <w:ind w:firstLine="509"/>
        <w:spacing w:after="0" w:line="263" w:lineRule="auto"/>
        <w:rPr>
          <w:sz w:val="20"/>
          <w:szCs w:val="20"/>
          <w:color w:val="auto"/>
        </w:rPr>
      </w:pPr>
      <w:r>
        <w:rPr>
          <w:rFonts w:ascii="Times New Roman" w:cs="Times New Roman" w:eastAsia="Times New Roman" w:hAnsi="Times New Roman"/>
          <w:sz w:val="14"/>
          <w:szCs w:val="14"/>
          <w:color w:val="auto"/>
        </w:rPr>
        <w:t>The Company’s estimates of the fair value of RSUs at their grant or valuation dates vary based on whether the awards' vesting conditions are based on market conditions or service conditions.</w:t>
      </w:r>
    </w:p>
    <w:p>
      <w:pPr>
        <w:spacing w:after="0" w:line="2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For 2023 awards with the vesting based on market conditions, the Company uses a Monte Carlo simulation that considers various variables and assumptions, including:</w:t>
      </w:r>
    </w:p>
    <w:p>
      <w:pPr>
        <w:spacing w:after="0" w:line="94" w:lineRule="exact"/>
        <w:rPr>
          <w:sz w:val="20"/>
          <w:szCs w:val="20"/>
          <w:color w:val="auto"/>
        </w:rPr>
      </w:pPr>
    </w:p>
    <w:p>
      <w:pPr>
        <w:ind w:left="380" w:hanging="248"/>
        <w:spacing w:after="0"/>
        <w:tabs>
          <w:tab w:leader="none" w:pos="3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simulated 30-day average at the end of the requisite service period,</w:t>
      </w:r>
    </w:p>
    <w:p>
      <w:pPr>
        <w:spacing w:after="0" w:line="93"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discount period based on the vesting term of the awards,</w:t>
      </w:r>
    </w:p>
    <w:p>
      <w:pPr>
        <w:spacing w:after="0" w:line="93"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estimate of stock price volatility based on that of an industry peer group,</w:t>
      </w:r>
    </w:p>
    <w:p>
      <w:pPr>
        <w:spacing w:after="0" w:line="93"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dividends, if any, and</w:t>
      </w:r>
    </w:p>
    <w:p>
      <w:pPr>
        <w:spacing w:after="0" w:line="93"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risk-free interest rate</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For 2025 awards with the vesting based on market conditions, the Company uses a Monte Carlo simulation that considers various variables and assumptions, including:</w:t>
      </w:r>
    </w:p>
    <w:p>
      <w:pPr>
        <w:spacing w:after="0" w:line="94" w:lineRule="exact"/>
        <w:rPr>
          <w:sz w:val="20"/>
          <w:szCs w:val="20"/>
          <w:color w:val="auto"/>
        </w:rPr>
      </w:pPr>
    </w:p>
    <w:p>
      <w:pPr>
        <w:ind w:left="380" w:hanging="248"/>
        <w:spacing w:after="0"/>
        <w:tabs>
          <w:tab w:leader="none" w:pos="3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simulated 30-day average for the last 30 days of the first pricing period,</w:t>
      </w:r>
    </w:p>
    <w:p>
      <w:pPr>
        <w:spacing w:after="0" w:line="93"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simulated highest 30-day average for any 30-day period throughout the second pricing period,</w:t>
      </w:r>
    </w:p>
    <w:p>
      <w:pPr>
        <w:spacing w:after="0" w:line="93"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discount period based on the vesting term of the awards,</w:t>
      </w:r>
    </w:p>
    <w:p>
      <w:pPr>
        <w:spacing w:after="0" w:line="93"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estimate of stock price volatility based on the Company's historical volatility,</w:t>
      </w:r>
    </w:p>
    <w:p>
      <w:pPr>
        <w:spacing w:after="0" w:line="93"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dividends, if any, and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99" w:name="page100"/>
    <w:bookmarkEnd w:id="99"/>
    <w:p>
      <w:pPr>
        <w:ind w:left="380" w:hanging="248"/>
        <w:spacing w:after="0"/>
        <w:tabs>
          <w:tab w:leader="none" w:pos="3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risk-free interest rate</w:t>
      </w:r>
    </w:p>
    <w:p>
      <w:pPr>
        <w:spacing w:after="0" w:line="94"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These assumptions require estimates and judgments and changes in those inputs could impact the amount of expenses that are charged to earnings. The Company recognizes compensation expense for the fair value of RSUs and stock option awards over the requisite service period of the awards. All excess tax benefits, taxes and tax deficiencies from stock-based compensation are included in the provision for income taxes in the Company's Statements of Operations and Comprehensive Loss. As part of the Company’s share-based compensation plan, shares are withheld to satisfy tax withholding obligations upon the vesting of RSUs. During the years ended December 31, 2025 and 2024, the fair value of the shares withheld was $809 and $1,351, respectively, and was recorded a reduction of Additional paid-in capital in the Statements of Changes in Stockholders’ Deficit and as a financing activity in the Statements of Cash Flows. The portion of shares yet to be remitted as of December 31, 2025 and 2024 was $0 and $250 and is disclosed as a non-cash financing activity in the Statements of Cash Flows.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 Share Data</w:t>
      </w:r>
    </w:p>
    <w:p>
      <w:pPr>
        <w:spacing w:after="0" w:line="9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Basic net loss per common share is computed by dividing the net loss attributable to common stockholders by the weighted average number of shares of Common Stock outstanding during the period.</w:t>
      </w:r>
    </w:p>
    <w:p>
      <w:pPr>
        <w:spacing w:after="0" w:line="39"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Diluted net income per common share is calculated by dividing net income available to common stockholders as adjusted for the effect of dilutive securities, if any, by the weighted average number of shares of Common Stock and dilutive Common Stock outstanding during the period. Potentially dilutive common shares include the shares of Common Stock issuable upon the exercise of outstanding stock options and warrants, the shares of issued but unvested RSUs and the purchase of shares from the Company’s employee stock purchase plan (using the treasury stock method). For all periods presented, potential common shares have been excluded from the calculation of EPS because their effect would be anti-dilutive.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Comprehensive Loss</w:t>
      </w:r>
    </w:p>
    <w:p>
      <w:pPr>
        <w:spacing w:after="0" w:line="9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Comprehensive loss includes net loss as well as other changes in stockholders’ deficit that may result from transactions and economic events other than those with stockholders, such as unrealized gains or losses on investments. For the years ended December 31, 2025 and 2024, the Company’s comprehensive loss included only its net loss.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w:t>
      </w:r>
    </w:p>
    <w:p>
      <w:pPr>
        <w:spacing w:after="0" w:line="9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Certain assets and liabilities are reported on a recurring basis at fair value.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56" w:lineRule="exact"/>
        <w:rPr>
          <w:sz w:val="20"/>
          <w:szCs w:val="20"/>
          <w:color w:val="auto"/>
        </w:rPr>
      </w:pPr>
    </w:p>
    <w:p>
      <w:pPr>
        <w:ind w:left="520" w:hanging="260"/>
        <w:spacing w:after="0" w:line="287" w:lineRule="auto"/>
        <w:tabs>
          <w:tab w:leader="none" w:pos="51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 Quoted prices in active markets for identical assets or liabilities. Cash and cash equivalents consisted of cash in bank accounts, and money market Treasury mutual funds which are all Level 1 assets.</w:t>
      </w:r>
    </w:p>
    <w:p>
      <w:pPr>
        <w:spacing w:after="0" w:line="39"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 The Company's Level 2 assets consisted of Treasury bills of $40,241 and $0 as of December 31, 2025 and 2024, respectively.</w:t>
      </w:r>
    </w:p>
    <w:p>
      <w:pPr>
        <w:spacing w:after="0" w:line="50"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3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carrying amounts reported in the balance sheets for trade and other receivables, prepaid and other current assets, accounts payable, accrued expenses and deferred revenue approximate fair value based on the short-term maturity of these assets and liabilities.</w:t>
      </w:r>
    </w:p>
    <w:p>
      <w:pPr>
        <w:spacing w:after="0" w:line="39"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connection with the issuance of the 13.5% Notes on November 1, 2023, the Company and the Note Holders entered into the Royalty Right Agreements. The Royalty Right Agreements were valued based on Level 3 inputs, and their fair value is estimated by applying probability-weighted cash flows for future sales, which are then discounted to present value. Changes to fair value of the Royalty Rights Agreements can result from changes to one or a number of the aforementioned inputs. A significant change in unobservable inputs could result in a material increase or decrease to the effective interest rate of the Royalty Right Agreements liability.</w:t>
      </w:r>
    </w:p>
    <w:p>
      <w:pPr>
        <w:spacing w:after="0" w:line="5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During the year ended December 31, 2025, the Company updated the probability-weighted cash flows for future sales, which decreased the royalty obligation to $51,886 and decreased the unamortized discount to $25,945. The effective interest rate changed by 2.64%, and the Company updated the projected years of payments to 2035. During the year ended December 31, 2024, there were no material changes to the probability-weighted cash flows for future sales used to recognize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00" w:name="page101"/>
    <w:bookmarkEnd w:id="100"/>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the Royalty Right Agreements liability. The Company had used 75% probability of success factor and updated the projected years of payments to 2034 and the effective interest rate by 0.56%. See Note 15,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for further discussion.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Segment Information</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 xml:space="preserve">Operating segments are defined as components of an entity about which separate discrete information is available for evaluation by the chief operating decision maker, or decision-making group, in deciding how to allocate resources and in assessing performance. The Company manages its operations as a single segment for purposes of assessing performance and making operating decisions. See Note 5,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xml:space="preserve"> for additional information.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complies with new or revised accounting standards by the relevant dates on which adoption of such standards is required for smaller reporting companies.</w:t>
      </w:r>
    </w:p>
    <w:p>
      <w:pPr>
        <w:spacing w:after="0" w:line="9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From time to time, new accounting pronouncements are issued by the FASB and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Recently Adopted Accounting Pronouncements:</w:t>
      </w:r>
    </w:p>
    <w:p>
      <w:pPr>
        <w:spacing w:after="0" w:line="94"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In December 2023, the FASB issued ASU 2023-09—</w:t>
      </w:r>
      <w:r>
        <w:rPr>
          <w:rFonts w:ascii="Times New Roman" w:cs="Times New Roman" w:eastAsia="Times New Roman" w:hAnsi="Times New Roman"/>
          <w:sz w:val="14"/>
          <w:szCs w:val="14"/>
          <w:i w:val="1"/>
          <w:iCs w:val="1"/>
          <w:color w:val="auto"/>
        </w:rPr>
        <w:t>Income Taxes (Topic 740)—Improvements to Income Tax Disclosures.</w:t>
      </w:r>
      <w:r>
        <w:rPr>
          <w:rFonts w:ascii="Times New Roman" w:cs="Times New Roman" w:eastAsia="Times New Roman" w:hAnsi="Times New Roman"/>
          <w:sz w:val="14"/>
          <w:szCs w:val="14"/>
          <w:color w:val="auto"/>
        </w:rPr>
        <w:t xml:space="preserve"> The ASU modifies the effective tax rate reconciliation table and requires disaggregation of income taxes. The Company adopted ASU 2023-09 for the year ending December 31, 2025 and added the required disclosures on a prospective basis in Note 22, </w:t>
      </w:r>
      <w:r>
        <w:rPr>
          <w:rFonts w:ascii="Times New Roman" w:cs="Times New Roman" w:eastAsia="Times New Roman" w:hAnsi="Times New Roman"/>
          <w:sz w:val="14"/>
          <w:szCs w:val="14"/>
          <w:i w:val="1"/>
          <w:iCs w:val="1"/>
          <w:color w:val="auto"/>
        </w:rPr>
        <w:t>Income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Taxes</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 Accounting Pronouncements Not Adopted as of December 31, 2025:</w:t>
      </w:r>
    </w:p>
    <w:p>
      <w:pPr>
        <w:spacing w:after="0" w:line="9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Statement—Reporting Comprehensive Income—Expense Disaggregation Disclosures (Subtopic 220-40): Disaggregation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Income Statement Expenses. </w:t>
      </w:r>
      <w:r>
        <w:rPr>
          <w:rFonts w:ascii="Times New Roman" w:cs="Times New Roman" w:eastAsia="Times New Roman" w:hAnsi="Times New Roman"/>
          <w:sz w:val="14"/>
          <w:szCs w:val="14"/>
          <w:color w:val="auto"/>
        </w:rPr>
        <w:t>ASU 2024-03 will require the Company to disclose the amounts of purchases of inventory, employee compensation, depreciation and intangible asset amortization,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applicable, included in certain expense captions in the Statements of Operations, and Comprehensive Loss as well as qualitatively describe the remaining amounts included in those captions. ASU 2024-03 will also require the Company to disclose both the amount and the Company’s definition of selling expenses. These disclosure requirements will be effective for the Company for fiscal years beginning after December 15, 2026, and for interim periods within fiscal years beginning after December 15, 2027. The Company is currently evaluating the impact from the adoption of ASU 2024-03 on disclosures to its financial statements.</w:t>
      </w:r>
    </w:p>
    <w:p>
      <w:pPr>
        <w:spacing w:after="0" w:line="57"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4"/>
          <w:szCs w:val="14"/>
          <w:color w:val="auto"/>
        </w:rPr>
        <w:t xml:space="preserve">In September 2025, the FASB issued ASU 2025-06, </w:t>
      </w:r>
      <w:r>
        <w:rPr>
          <w:rFonts w:ascii="Times New Roman" w:cs="Times New Roman" w:eastAsia="Times New Roman" w:hAnsi="Times New Roman"/>
          <w:sz w:val="14"/>
          <w:szCs w:val="14"/>
          <w:i w:val="1"/>
          <w:iCs w:val="1"/>
          <w:color w:val="auto"/>
        </w:rPr>
        <w:t>Targeted Improvements to the Accounting for Internal-Use Software</w:t>
      </w:r>
      <w:r>
        <w:rPr>
          <w:rFonts w:ascii="Times New Roman" w:cs="Times New Roman" w:eastAsia="Times New Roman" w:hAnsi="Times New Roman"/>
          <w:sz w:val="14"/>
          <w:szCs w:val="14"/>
          <w:color w:val="auto"/>
        </w:rPr>
        <w:t xml:space="preserve"> to provide clarification and improvements to the accounting for internal-use software costs under ASC 350-40, Intangibles – Goodwill and Other – Internal-Use Software. The guidance includes amendments related to capitalization of implementation costs, subsequent measurement, and related presentation and disclosure requirements. This ASU will be effective for fiscal years beginning after December 15, 2027, and interim periods within those fiscal years. Early adoption is permitted. The Company is currently evaluating the impact this ASU will have on its financial statements and related disclosures.</w:t>
      </w:r>
    </w:p>
    <w:p>
      <w:pPr>
        <w:spacing w:after="0" w:line="15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4"/>
          <w:szCs w:val="14"/>
          <w:b w:val="1"/>
          <w:bCs w:val="1"/>
          <w:color w:val="auto"/>
        </w:rPr>
        <w:t>Note 4.</w:t>
        <w:tab/>
        <w:t>Risks and Uncertainties</w:t>
      </w:r>
    </w:p>
    <w:p>
      <w:pPr>
        <w:spacing w:after="0" w:line="85"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The Company assesses liquidity in terms of its ability to generate cash to fund its operating, investing and financing activities. The Company’s cash requirements for 2026 and beyond include expenses related to continuing development and clinical evaluation of its products, manufacture and supply costs, costs of regulatory filings, patent prosecution expenses and litigation expenses, expenses related to commercialization of its products, as well as costs to comply with the requirements of being a public company operating in a highly regulated industry. As of December 31, 2025, the Company had $121,169 of cash and cash equivalents.</w:t>
      </w:r>
    </w:p>
    <w:p>
      <w:pPr>
        <w:spacing w:after="0" w:line="67"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 xml:space="preserve">The Company has experienced a history of net losses. The Company’s accumulated deficit totaled $446,998 as of December 31, 2025. The net losses and accumulated deficits were partially offset by gross margins from sales of commercialized licensed and proprietary products, license fees, milestone and royalty payments from commercial licensees and co-development parties. The Company’s funding requirements have been met by its cash and cash equivalents, as well as its existing equity and debt offerings, including the 13.5% Senior Secured Notes, as further discussed in Note 15,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the ATM facility and other equity offerings, including the underwritten public offerings as discussed in Note 1 Part B, </w:t>
      </w:r>
      <w:r>
        <w:rPr>
          <w:rFonts w:ascii="Times New Roman" w:cs="Times New Roman" w:eastAsia="Times New Roman" w:hAnsi="Times New Roman"/>
          <w:sz w:val="14"/>
          <w:szCs w:val="14"/>
          <w:i w:val="1"/>
          <w:iCs w:val="1"/>
          <w:color w:val="auto"/>
        </w:rPr>
        <w:t>Company Overview and Equity Transactions.</w:t>
      </w:r>
    </w:p>
    <w:p>
      <w:pPr>
        <w:spacing w:after="0" w:line="16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While the Company’s ability to execute its business objectives and achieve profitability over the longer term cannot be assured, the Company’s on-going business, existing cash and cash equivalents, expense management activities, including, but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01" w:name="page102"/>
    <w:bookmarkEnd w:id="101"/>
    <w:p>
      <w:pPr>
        <w:jc w:val="both"/>
        <w:spacing w:after="0" w:line="263" w:lineRule="auto"/>
        <w:rPr>
          <w:sz w:val="20"/>
          <w:szCs w:val="20"/>
          <w:color w:val="auto"/>
        </w:rPr>
      </w:pPr>
      <w:r>
        <w:rPr>
          <w:rFonts w:ascii="Times New Roman" w:cs="Times New Roman" w:eastAsia="Times New Roman" w:hAnsi="Times New Roman"/>
          <w:sz w:val="14"/>
          <w:szCs w:val="14"/>
          <w:color w:val="auto"/>
        </w:rPr>
        <w:t>not limited to the ceasing of R&amp;D activities, as well as access to the equity capital markets through its ATM facility, provide near term liquidity for the Company to fund its operating needs for at least the next twelve months as it continues to execute its business strategy.</w:t>
      </w:r>
    </w:p>
    <w:p>
      <w:pPr>
        <w:spacing w:after="0" w:line="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4"/>
          <w:szCs w:val="14"/>
          <w:b w:val="1"/>
          <w:bCs w:val="1"/>
          <w:color w:val="auto"/>
        </w:rPr>
        <w:t>Note 5.</w:t>
        <w:tab/>
        <w:t>Segment Reporting</w:t>
      </w:r>
    </w:p>
    <w:p>
      <w:pPr>
        <w:spacing w:after="0" w:line="79"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Operating segments are defined as components of an entity for which separate discrete financial information is available for evaluation by the CODM in deciding how to allocate resources and in assessing performance. For the years ended December 31, 2025 and 2024, the Company has identified one operating and reportable segment. The Company defines its operating segment based on internally reported financial information that is regularly reviewed by the CODM to analyze financial performance, make decisions, and allocate resources. The Company's CEO is the CODM. The Company manages its operations as a single segment for purposes of assessing performance and making operating decisions. This segment encompasses the development and advancement of a product pipeline for the treatment of severe allergic reactions, including anaphylaxis, and the Adrenaverse epinephrine prodrug pipeline platform. Additionally, the Company serves as the exclusive manufacturer for its proprietary product, Libervant, while it had U.S. market access, and four licensed commercialized products.</w:t>
      </w:r>
    </w:p>
    <w:p>
      <w:pPr>
        <w:spacing w:after="0" w:line="6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The CODM reviews the segment's profit or loss based on net loss reported on the Statements of Operations and Comprehensive Loss. The CODM also considers forecast-to-actual variances on a monthly basis for expenses deemed significant. Furthermore, the CODM reviews the segment's assets based on total assets reported on the Balance Sheets. All long-lived assets are held in the United States. While the Company generated $44,545 and $57,561 in revenues for the years ended December 31, 2025, and 2024, respectively, management expects the Company to continue to incur significant expenses and operating losses for the foreseeable future as it advances product candidates through all stages of development and clinical trials, ultimately seeking regulatory approval and commencing commercialization activities for Anaphylm, if approved by the FDA. The CODM uses cash forecast models to guide investment decisions and assess entity-wide operating results and performance. Net loss is used to monitor budget and rolling forecasts versus actual results. The CODM views specific categories within R&amp;D expenses, selling expenses, and general and administrative expenses as significant due to their direct correlation with cash burn and profitability.</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02" w:name="page103"/>
    <w:bookmarkEnd w:id="102"/>
    <w:p>
      <w:pPr>
        <w:ind w:left="520"/>
        <w:spacing w:after="0"/>
        <w:rPr>
          <w:sz w:val="20"/>
          <w:szCs w:val="20"/>
          <w:color w:val="auto"/>
        </w:rPr>
      </w:pPr>
      <w:r>
        <w:rPr>
          <w:rFonts w:ascii="Times New Roman" w:cs="Times New Roman" w:eastAsia="Times New Roman" w:hAnsi="Times New Roman"/>
          <w:sz w:val="14"/>
          <w:szCs w:val="14"/>
          <w:color w:val="auto"/>
        </w:rPr>
        <w:t>The following table reconciles reported revenues to net loss under the significant expense principle for the years ended December 31, 2025, and 2024:</w:t>
      </w:r>
    </w:p>
    <w:p>
      <w:pPr>
        <w:spacing w:after="0" w:line="28"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Borders>
              <w:bottom w:val="single" w:sz="8" w:color="CCEEFF"/>
            </w:tcBorders>
          </w:tcPr>
          <w:p>
            <w:pPr>
              <w:spacing w:after="0"/>
              <w:rPr>
                <w:sz w:val="14"/>
                <w:szCs w:val="14"/>
                <w:color w:val="auto"/>
              </w:rPr>
            </w:pPr>
          </w:p>
        </w:tc>
        <w:tc>
          <w:tcPr>
            <w:tcW w:w="150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700" w:type="dxa"/>
            <w:vAlign w:val="bottom"/>
            <w:tcBorders>
              <w:top w:val="single" w:sz="8" w:color="auto"/>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500" w:type="dxa"/>
            <w:vAlign w:val="bottom"/>
            <w:shd w:val="clear" w:color="auto" w:fill="CCEEFF"/>
          </w:tcPr>
          <w:p>
            <w:pPr>
              <w:jc w:val="right"/>
              <w:ind w:right="13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44,545</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57,561</w:t>
            </w:r>
          </w:p>
        </w:tc>
      </w:tr>
      <w:tr>
        <w:trPr>
          <w:trHeight w:val="180"/>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Manufacture and Supply Expenses</w:t>
            </w:r>
          </w:p>
        </w:tc>
        <w:tc>
          <w:tcPr>
            <w:tcW w:w="15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18,555</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17,872</w:t>
            </w:r>
          </w:p>
        </w:tc>
      </w:tr>
      <w:tr>
        <w:trPr>
          <w:trHeight w:val="212"/>
        </w:trPr>
        <w:tc>
          <w:tcPr>
            <w:tcW w:w="6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18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R&amp;D Project expenses:</w:t>
            </w:r>
          </w:p>
        </w:tc>
        <w:tc>
          <w:tcPr>
            <w:tcW w:w="1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180"/>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Anaphylm project expenses</w:t>
            </w:r>
          </w:p>
        </w:tc>
        <w:tc>
          <w:tcPr>
            <w:tcW w:w="15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5,815</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9,471</w:t>
            </w:r>
          </w:p>
        </w:tc>
      </w:tr>
      <w:tr>
        <w:trPr>
          <w:trHeight w:val="18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AQST-108 project expenses</w:t>
            </w:r>
          </w:p>
        </w:tc>
        <w:tc>
          <w:tcPr>
            <w:tcW w:w="15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w:t>
            </w:r>
          </w:p>
        </w:tc>
      </w:tr>
      <w:tr>
        <w:trPr>
          <w:trHeight w:val="180"/>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Libervant project expenses</w:t>
            </w:r>
          </w:p>
        </w:tc>
        <w:tc>
          <w:tcPr>
            <w:tcW w:w="15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R&amp;D other expenses:</w:t>
            </w:r>
          </w:p>
        </w:tc>
        <w:tc>
          <w:tcPr>
            <w:tcW w:w="1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180"/>
        </w:trPr>
        <w:tc>
          <w:tcPr>
            <w:tcW w:w="672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Personnel costs</w:t>
            </w:r>
            <w:r>
              <w:rPr>
                <w:rFonts w:ascii="Times New Roman" w:cs="Times New Roman" w:eastAsia="Times New Roman" w:hAnsi="Times New Roman"/>
                <w:sz w:val="18"/>
                <w:szCs w:val="18"/>
                <w:color w:val="auto"/>
                <w:vertAlign w:val="subscript"/>
              </w:rPr>
              <w:t>1</w:t>
            </w:r>
          </w:p>
        </w:tc>
        <w:tc>
          <w:tcPr>
            <w:tcW w:w="15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8,650</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7,724</w:t>
            </w:r>
          </w:p>
        </w:tc>
      </w:tr>
      <w:tr>
        <w:trPr>
          <w:trHeight w:val="180"/>
        </w:trPr>
        <w:tc>
          <w:tcPr>
            <w:tcW w:w="672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bscript"/>
              </w:rPr>
              <w:t>2</w:t>
            </w:r>
          </w:p>
        </w:tc>
        <w:tc>
          <w:tcPr>
            <w:tcW w:w="15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2,230</w:t>
            </w: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2,297</w:t>
            </w:r>
          </w:p>
        </w:tc>
      </w:tr>
      <w:tr>
        <w:trPr>
          <w:trHeight w:val="171"/>
        </w:trPr>
        <w:tc>
          <w:tcPr>
            <w:tcW w:w="6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Total Research and Development Expenses</w:t>
            </w:r>
          </w:p>
        </w:tc>
        <w:tc>
          <w:tcPr>
            <w:tcW w:w="1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17,192</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20,280</w:t>
            </w:r>
          </w:p>
        </w:tc>
      </w:tr>
      <w:tr>
        <w:trPr>
          <w:trHeight w:val="192"/>
        </w:trPr>
        <w:tc>
          <w:tcPr>
            <w:tcW w:w="67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r>
        <w:trPr>
          <w:trHeight w:val="180"/>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Selling expenses:</w:t>
            </w:r>
          </w:p>
        </w:tc>
        <w:tc>
          <w:tcPr>
            <w:tcW w:w="1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0"/>
        </w:trPr>
        <w:tc>
          <w:tcPr>
            <w:tcW w:w="67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Personnel costs</w:t>
            </w:r>
            <w:r>
              <w:rPr>
                <w:rFonts w:ascii="Times New Roman" w:cs="Times New Roman" w:eastAsia="Times New Roman" w:hAnsi="Times New Roman"/>
                <w:sz w:val="18"/>
                <w:szCs w:val="18"/>
                <w:color w:val="auto"/>
                <w:vertAlign w:val="subscript"/>
              </w:rPr>
              <w:t>3</w:t>
            </w:r>
          </w:p>
        </w:tc>
        <w:tc>
          <w:tcPr>
            <w:tcW w:w="15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3,719</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2,382</w:t>
            </w:r>
          </w:p>
        </w:tc>
      </w:tr>
      <w:tr>
        <w:trPr>
          <w:trHeight w:val="180"/>
        </w:trPr>
        <w:tc>
          <w:tcPr>
            <w:tcW w:w="6720" w:type="dxa"/>
            <w:vAlign w:val="bottom"/>
            <w:tcBorders>
              <w:bottom w:val="single" w:sz="8" w:color="CCEEFF"/>
            </w:tcBorders>
          </w:tcPr>
          <w:p>
            <w:pPr>
              <w:ind w:left="60"/>
              <w:spacing w:after="0" w:line="181"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bscript"/>
              </w:rPr>
              <w:t>4</w:t>
            </w:r>
          </w:p>
        </w:tc>
        <w:tc>
          <w:tcPr>
            <w:tcW w:w="15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14,765</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5,164</w:t>
            </w:r>
          </w:p>
        </w:tc>
      </w:tr>
      <w:tr>
        <w:trPr>
          <w:trHeight w:val="171"/>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Selling expenses</w:t>
            </w:r>
          </w:p>
        </w:tc>
        <w:tc>
          <w:tcPr>
            <w:tcW w:w="15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18,484</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7,546</w:t>
            </w:r>
          </w:p>
        </w:tc>
      </w:tr>
      <w:tr>
        <w:trPr>
          <w:trHeight w:val="212"/>
        </w:trPr>
        <w:tc>
          <w:tcPr>
            <w:tcW w:w="6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18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General &amp; Administrative expenses:</w:t>
            </w:r>
          </w:p>
        </w:tc>
        <w:tc>
          <w:tcPr>
            <w:tcW w:w="1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180"/>
        </w:trPr>
        <w:tc>
          <w:tcPr>
            <w:tcW w:w="672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Personnel costs</w:t>
            </w:r>
            <w:r>
              <w:rPr>
                <w:rFonts w:ascii="Times New Roman" w:cs="Times New Roman" w:eastAsia="Times New Roman" w:hAnsi="Times New Roman"/>
                <w:sz w:val="18"/>
                <w:szCs w:val="18"/>
                <w:color w:val="auto"/>
                <w:vertAlign w:val="subscript"/>
              </w:rPr>
              <w:t>5</w:t>
            </w:r>
          </w:p>
        </w:tc>
        <w:tc>
          <w:tcPr>
            <w:tcW w:w="15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19,823</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21,064</w:t>
            </w:r>
          </w:p>
        </w:tc>
      </w:tr>
      <w:tr>
        <w:trPr>
          <w:trHeight w:val="180"/>
        </w:trPr>
        <w:tc>
          <w:tcPr>
            <w:tcW w:w="67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bscript"/>
              </w:rPr>
              <w:t>6</w:t>
            </w:r>
          </w:p>
        </w:tc>
        <w:tc>
          <w:tcPr>
            <w:tcW w:w="15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41,542</w:t>
            </w: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21,570</w:t>
            </w:r>
          </w:p>
        </w:tc>
      </w:tr>
      <w:tr>
        <w:trPr>
          <w:trHeight w:val="171"/>
        </w:trPr>
        <w:tc>
          <w:tcPr>
            <w:tcW w:w="6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General and Administrative Expenses</w:t>
            </w:r>
          </w:p>
        </w:tc>
        <w:tc>
          <w:tcPr>
            <w:tcW w:w="15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61,365</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42,634</w:t>
            </w:r>
          </w:p>
        </w:tc>
      </w:tr>
      <w:tr>
        <w:trPr>
          <w:trHeight w:val="212"/>
        </w:trPr>
        <w:tc>
          <w:tcPr>
            <w:tcW w:w="67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180"/>
        </w:trPr>
        <w:tc>
          <w:tcPr>
            <w:tcW w:w="6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Selling, General and Administrative Expenses</w:t>
            </w:r>
          </w:p>
        </w:tc>
        <w:tc>
          <w:tcPr>
            <w:tcW w:w="15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79,849</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50,180</w:t>
            </w:r>
          </w:p>
        </w:tc>
      </w:tr>
      <w:tr>
        <w:trPr>
          <w:trHeight w:val="212"/>
        </w:trPr>
        <w:tc>
          <w:tcPr>
            <w:tcW w:w="67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180"/>
        </w:trPr>
        <w:tc>
          <w:tcPr>
            <w:tcW w:w="67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costs and expenses</w:t>
            </w:r>
          </w:p>
        </w:tc>
        <w:tc>
          <w:tcPr>
            <w:tcW w:w="15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115,596</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88,332</w:t>
            </w:r>
          </w:p>
        </w:tc>
      </w:tr>
      <w:tr>
        <w:trPr>
          <w:trHeight w:val="171"/>
        </w:trPr>
        <w:tc>
          <w:tcPr>
            <w:tcW w:w="6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Loss from operations</w:t>
            </w:r>
          </w:p>
        </w:tc>
        <w:tc>
          <w:tcPr>
            <w:tcW w:w="15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(71,051)</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(30,771)</w:t>
            </w:r>
          </w:p>
        </w:tc>
      </w:tr>
      <w:tr>
        <w:trPr>
          <w:trHeight w:val="180"/>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income/(expenses), net</w:t>
            </w:r>
          </w:p>
        </w:tc>
        <w:tc>
          <w:tcPr>
            <w:tcW w:w="15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(12,733)</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(13,380)</w:t>
            </w:r>
          </w:p>
        </w:tc>
      </w:tr>
      <w:tr>
        <w:trPr>
          <w:trHeight w:val="171"/>
        </w:trPr>
        <w:tc>
          <w:tcPr>
            <w:tcW w:w="6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loss before income taxes</w:t>
            </w:r>
          </w:p>
        </w:tc>
        <w:tc>
          <w:tcPr>
            <w:tcW w:w="15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(83,784)</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(44,151)</w:t>
            </w:r>
          </w:p>
        </w:tc>
      </w:tr>
      <w:tr>
        <w:trPr>
          <w:trHeight w:val="180"/>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benefit</w:t>
            </w:r>
          </w:p>
        </w:tc>
        <w:tc>
          <w:tcPr>
            <w:tcW w:w="15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71"/>
        </w:trPr>
        <w:tc>
          <w:tcPr>
            <w:tcW w:w="672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loss</w:t>
            </w:r>
          </w:p>
        </w:tc>
        <w:tc>
          <w:tcPr>
            <w:tcW w:w="1500" w:type="dxa"/>
            <w:vAlign w:val="bottom"/>
            <w:tcBorders>
              <w:top w:val="single" w:sz="8" w:color="auto"/>
              <w:bottom w:val="single" w:sz="8" w:color="auto"/>
            </w:tcBorders>
            <w:shd w:val="clear" w:color="auto" w:fill="CCEEFF"/>
          </w:tcPr>
          <w:p>
            <w:pPr>
              <w:jc w:val="right"/>
              <w:ind w:right="13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(83,784)</w:t>
            </w:r>
          </w:p>
        </w:tc>
        <w:tc>
          <w:tcPr>
            <w:tcW w:w="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(44,137)</w:t>
            </w:r>
          </w:p>
        </w:tc>
      </w:tr>
      <w:tr>
        <w:trPr>
          <w:trHeight w:val="171"/>
        </w:trPr>
        <w:tc>
          <w:tcPr>
            <w:tcW w:w="6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Comprehensive loss</w:t>
            </w:r>
          </w:p>
        </w:tc>
        <w:tc>
          <w:tcPr>
            <w:tcW w:w="1500" w:type="dxa"/>
            <w:vAlign w:val="bottom"/>
            <w:tcBorders>
              <w:bottom w:val="single" w:sz="8" w:color="auto"/>
            </w:tcBorders>
          </w:tcPr>
          <w:p>
            <w:pPr>
              <w:jc w:val="right"/>
              <w:ind w:right="13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(83,784)</w:t>
            </w:r>
          </w:p>
        </w:tc>
        <w:tc>
          <w:tcPr>
            <w:tcW w:w="8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(44,137)</w:t>
            </w:r>
          </w:p>
        </w:tc>
      </w:tr>
      <w:tr>
        <w:trPr>
          <w:trHeight w:val="20"/>
        </w:trPr>
        <w:tc>
          <w:tcPr>
            <w:tcW w:w="67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 R&amp;D Personnel costs include payroll expenses, share-based compensation expenses and severance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2 - Other R&amp;D expenses include preclinical, consulting, maintenance, and testing fees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3 - Selling Personnel costs include payroll expenses, share-based compensation expenses and severance</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4 - Other Selling expenses include commercialization and other related expenses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5 - G&amp;A Personnel costs include payroll expenses, share-based compensation expenses and severance</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6 - Other General and Administrative expenses include legal/patent fees, legal expenditures, insurance fees, IT expenses, investor relations expenses, regulatory fees, facility and other costs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86"/>
        </w:trPr>
        <w:tc>
          <w:tcPr>
            <w:tcW w:w="8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6.  Revenues and Trade Receivables, Net</w:t>
            </w: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83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Company’s revenue was comprised of the following:</w:t>
            </w:r>
          </w:p>
        </w:tc>
        <w:tc>
          <w:tcPr>
            <w:tcW w:w="9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8300" w:type="dxa"/>
            <w:vAlign w:val="bottom"/>
          </w:tcPr>
          <w:p>
            <w:pPr>
              <w:spacing w:after="0"/>
              <w:rPr>
                <w:sz w:val="24"/>
                <w:szCs w:val="24"/>
                <w:color w:val="auto"/>
              </w:rPr>
            </w:pPr>
          </w:p>
        </w:tc>
        <w:tc>
          <w:tcPr>
            <w:tcW w:w="2460" w:type="dxa"/>
            <w:vAlign w:val="bottom"/>
            <w:tcBorders>
              <w:bottom w:val="single" w:sz="8" w:color="auto"/>
            </w:tcBorders>
            <w:gridSpan w:val="4"/>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3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Manufacture and supply revenue</w:t>
            </w: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40,225</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39,976</w:t>
            </w:r>
          </w:p>
        </w:tc>
        <w:tc>
          <w:tcPr>
            <w:tcW w:w="0" w:type="dxa"/>
            <w:vAlign w:val="bottom"/>
          </w:tcPr>
          <w:p>
            <w:pPr>
              <w:spacing w:after="0"/>
              <w:rPr>
                <w:sz w:val="1"/>
                <w:szCs w:val="1"/>
                <w:color w:val="auto"/>
              </w:rPr>
            </w:pPr>
          </w:p>
        </w:tc>
      </w:tr>
      <w:tr>
        <w:trPr>
          <w:trHeight w:val="18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License and royalty revenue</w:t>
            </w:r>
          </w:p>
        </w:tc>
        <w:tc>
          <w:tcPr>
            <w:tcW w:w="9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3,519</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15,345</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Co-development and research fees</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w:t>
            </w:r>
          </w:p>
        </w:tc>
        <w:tc>
          <w:tcPr>
            <w:tcW w:w="0" w:type="dxa"/>
            <w:vAlign w:val="bottom"/>
          </w:tcPr>
          <w:p>
            <w:pPr>
              <w:spacing w:after="0"/>
              <w:rPr>
                <w:sz w:val="1"/>
                <w:szCs w:val="1"/>
                <w:color w:val="auto"/>
              </w:rPr>
            </w:pPr>
          </w:p>
        </w:tc>
      </w:tr>
      <w:tr>
        <w:trPr>
          <w:trHeight w:val="180"/>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Proprietary product revenue, net</w:t>
            </w: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44,545</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57,561</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i w:val="1"/>
                <w:iCs w:val="1"/>
                <w:color w:val="auto"/>
              </w:rPr>
              <w:t>Disaggregation of Revenue</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3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83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following table provides disaggregated net revenue by geographic area:</w:t>
            </w:r>
          </w:p>
        </w:tc>
        <w:tc>
          <w:tcPr>
            <w:tcW w:w="9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8300" w:type="dxa"/>
            <w:vAlign w:val="bottom"/>
          </w:tcPr>
          <w:p>
            <w:pPr>
              <w:spacing w:after="0"/>
              <w:rPr>
                <w:sz w:val="24"/>
                <w:szCs w:val="24"/>
                <w:color w:val="auto"/>
              </w:rPr>
            </w:pPr>
          </w:p>
        </w:tc>
        <w:tc>
          <w:tcPr>
            <w:tcW w:w="2460" w:type="dxa"/>
            <w:vAlign w:val="bottom"/>
            <w:tcBorders>
              <w:bottom w:val="single" w:sz="8" w:color="auto"/>
            </w:tcBorders>
            <w:gridSpan w:val="4"/>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3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29,604</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39,930</w:t>
            </w:r>
          </w:p>
        </w:tc>
        <w:tc>
          <w:tcPr>
            <w:tcW w:w="0" w:type="dxa"/>
            <w:vAlign w:val="bottom"/>
          </w:tcPr>
          <w:p>
            <w:pPr>
              <w:spacing w:after="0"/>
              <w:rPr>
                <w:sz w:val="1"/>
                <w:szCs w:val="1"/>
                <w:color w:val="auto"/>
              </w:rPr>
            </w:pPr>
          </w:p>
        </w:tc>
      </w:tr>
      <w:tr>
        <w:trPr>
          <w:trHeight w:val="180"/>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Ex-United States</w:t>
            </w: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14,941</w:t>
            </w: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17,631</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44,545</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57,561</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4"/>
          <w:szCs w:val="14"/>
          <w:color w:val="auto"/>
        </w:rPr>
        <w:t>For the year ended December 31, 2025, United States revenues were derived primarily from Indivior (manufacture and supply revenue, and co-development and research fees), and Assertio (manufacture and supply revenue, license and royalty revenue and co-development and research fees). Ex-United States revenues were derived primarily from Hypera (manufacture and supply revenue, and license and royalty revenue), and Indivior (manufacture and supply revenue, license and royalty revenue and co-development and research fees) for revenue markets outside of the United States.</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For the year ended December 31, 2024, United States revenues were derived primarily from Indivior (manufacture and supply revenue, and co-development and research fees), MTPA (license and royalty revenue that was previously recorded as deferred revenue and now recognized due to the termination of the contract), and Assertio (manufacture and supply revenue, license and royalty revenue and co-development and research fees). Ex-United States revenues were derived primarily from Haisco (license and royalty revenue that was previously recorded as deferred revenue and now recognized due to the termination of the contract), Indivior (manufacture and supply revenue, license and royalty revenue and co-development and research fees), and Hypera (manufacture and supply revenue, license and royalty revenue and co-development and research fees) for revenue markets outside of the United States.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Trade and other receivable, net consist of the following:</w:t>
            </w: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87"/>
        </w:trPr>
        <w:tc>
          <w:tcPr>
            <w:tcW w:w="8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24"/>
                <w:szCs w:val="24"/>
                <w:color w:val="auto"/>
              </w:rPr>
            </w:pPr>
          </w:p>
        </w:tc>
      </w:tr>
      <w:tr>
        <w:trPr>
          <w:trHeight w:val="171"/>
        </w:trPr>
        <w:tc>
          <w:tcPr>
            <w:tcW w:w="83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receivables</w:t>
            </w: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8,013</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4,919</w:t>
            </w:r>
          </w:p>
        </w:tc>
      </w:tr>
      <w:tr>
        <w:trPr>
          <w:trHeight w:val="18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and other receivables</w:t>
            </w:r>
          </w:p>
        </w:tc>
        <w:tc>
          <w:tcPr>
            <w:tcW w:w="9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2,473</w:t>
            </w:r>
          </w:p>
        </w:tc>
      </w:tr>
      <w:tr>
        <w:trPr>
          <w:trHeight w:val="18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sales-related allowances</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80"/>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Reclassification into Accrued distribution expenses and sales-related allowances</w:t>
            </w: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and other receivables, net</w:t>
            </w: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17,763</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7,344</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Contract and other receivables totaled $9,750 and $2,473 as of December 31, 2025 and 2024, respectively, consisting primarily of contract assets and other receivables. Contract assets consist of products and services provided under specific contracts to customers for which earnings processes have been met prior to shipment of goods or full delivery of completed services, as well as estimated receivables from contracts with third parties. Other receivables also include the current portion related to the Monetization royalty receivable and other receivables. As of December 31, 2025, other receivables also include an insurance reimbursement. Sales-related allowances as of December 31, 2025 and 2024 were estimated in relation to revenues recognized for sales of Libervant for patients between two to five years of age while Libervant had U.S. market access.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84"/>
        </w:trPr>
        <w:tc>
          <w:tcPr>
            <w:tcW w:w="80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following table presents the changes in the allowance for credit losses:</w:t>
            </w: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87"/>
        </w:trPr>
        <w:tc>
          <w:tcPr>
            <w:tcW w:w="80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Borders>
              <w:bottom w:val="single" w:sz="8" w:color="auto"/>
            </w:tcBorders>
          </w:tcPr>
          <w:p>
            <w:pPr>
              <w:spacing w:after="0"/>
              <w:rPr>
                <w:sz w:val="24"/>
                <w:szCs w:val="24"/>
                <w:color w:val="auto"/>
              </w:rPr>
            </w:pPr>
          </w:p>
        </w:tc>
      </w:tr>
      <w:tr>
        <w:trPr>
          <w:trHeight w:val="171"/>
        </w:trPr>
        <w:tc>
          <w:tcPr>
            <w:tcW w:w="80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the period</w:t>
            </w:r>
          </w:p>
        </w:tc>
        <w:tc>
          <w:tcPr>
            <w:tcW w:w="104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center"/>
              <w:ind w:left="709"/>
              <w:spacing w:after="0"/>
              <w:rPr>
                <w:sz w:val="20"/>
                <w:szCs w:val="20"/>
                <w:color w:val="auto"/>
              </w:rPr>
            </w:pPr>
            <w:r>
              <w:rPr>
                <w:rFonts w:ascii="Times New Roman" w:cs="Times New Roman" w:eastAsia="Times New Roman" w:hAnsi="Times New Roman"/>
                <w:sz w:val="14"/>
                <w:szCs w:val="14"/>
                <w:color w:val="auto"/>
                <w:w w:val="99"/>
              </w:rPr>
              <w:t>14</w:t>
            </w:r>
          </w:p>
        </w:tc>
      </w:tr>
      <w:tr>
        <w:trPr>
          <w:trHeight w:val="180"/>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reduction</w:t>
            </w:r>
          </w:p>
        </w:tc>
        <w:tc>
          <w:tcPr>
            <w:tcW w:w="104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1040" w:type="dxa"/>
            <w:vAlign w:val="bottom"/>
          </w:tcPr>
          <w:p>
            <w:pPr>
              <w:jc w:val="center"/>
              <w:ind w:left="689"/>
              <w:spacing w:after="0"/>
              <w:rPr>
                <w:sz w:val="20"/>
                <w:szCs w:val="20"/>
                <w:color w:val="auto"/>
              </w:rPr>
            </w:pPr>
            <w:r>
              <w:rPr>
                <w:rFonts w:ascii="Times New Roman" w:cs="Times New Roman" w:eastAsia="Times New Roman" w:hAnsi="Times New Roman"/>
                <w:sz w:val="14"/>
                <w:szCs w:val="14"/>
                <w:color w:val="auto"/>
              </w:rPr>
              <w:t>(14)</w:t>
            </w:r>
          </w:p>
        </w:tc>
      </w:tr>
      <w:tr>
        <w:trPr>
          <w:trHeight w:val="196"/>
        </w:trPr>
        <w:tc>
          <w:tcPr>
            <w:tcW w:w="8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end of the period</w:t>
            </w:r>
          </w:p>
        </w:tc>
        <w:tc>
          <w:tcPr>
            <w:tcW w:w="1040" w:type="dxa"/>
            <w:vAlign w:val="bottom"/>
            <w:tcBorders>
              <w:top w:val="single" w:sz="8" w:color="auto"/>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center"/>
              <w:ind w:left="709"/>
              <w:spacing w:after="0"/>
              <w:rPr>
                <w:sz w:val="20"/>
                <w:szCs w:val="20"/>
                <w:color w:val="auto"/>
              </w:rPr>
            </w:pPr>
            <w:r>
              <w:rPr>
                <w:rFonts w:ascii="Times New Roman" w:cs="Times New Roman" w:eastAsia="Times New Roman" w:hAnsi="Times New Roman"/>
                <w:sz w:val="14"/>
                <w:szCs w:val="14"/>
                <w:color w:val="auto"/>
                <w:w w:val="99"/>
              </w:rPr>
              <w:t>—</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Sales-Related Allowances</w:t>
      </w:r>
    </w:p>
    <w:p>
      <w:pPr>
        <w:spacing w:after="0" w:line="9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Revenues from sales of products are recorded net of prompt payment discounts, wholesaler service fees, returns allowances, chargebacks, rebates and co-pay support redemptions. These reserves are based on estimates of the amounts earned or to be claimed on the related sales. These amounts are treated as variable consideration, estimated and recognized as a reduction of the transaction price at the time of the sale. The Company includes these estimated amounts in the transaction price to the extent it is probable that a significant reversal of cumulative revenue recognized for such transaction will not occur, or when the uncertainty associated with the variable consideration is resolved. The calculation of some of these items requires management to make estimates based on sales data, historical return data, contracts and other related information that may become known in the future. The adequacy of these provisions is reviewed on no less than a quarterly basis.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following table presents the changes in sales-related allowances:</w:t>
            </w: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87"/>
        </w:trPr>
        <w:tc>
          <w:tcPr>
            <w:tcW w:w="83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24"/>
                <w:szCs w:val="24"/>
                <w:color w:val="auto"/>
              </w:rPr>
            </w:pPr>
          </w:p>
        </w:tc>
      </w:tr>
      <w:tr>
        <w:trPr>
          <w:trHeight w:val="171"/>
        </w:trPr>
        <w:tc>
          <w:tcPr>
            <w:tcW w:w="83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center"/>
              <w:ind w:left="629"/>
              <w:spacing w:after="0"/>
              <w:rPr>
                <w:sz w:val="20"/>
                <w:szCs w:val="20"/>
                <w:color w:val="auto"/>
              </w:rPr>
            </w:pPr>
            <w:r>
              <w:rPr>
                <w:rFonts w:ascii="Times New Roman" w:cs="Times New Roman" w:eastAsia="Times New Roman" w:hAnsi="Times New Roman"/>
                <w:sz w:val="14"/>
                <w:szCs w:val="14"/>
                <w:color w:val="auto"/>
                <w:w w:val="99"/>
              </w:rPr>
              <w:t>—</w:t>
            </w:r>
          </w:p>
        </w:tc>
      </w:tr>
      <w:tr>
        <w:trPr>
          <w:trHeight w:val="18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w:t>
            </w: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center"/>
              <w:ind w:left="629"/>
              <w:spacing w:after="0"/>
              <w:rPr>
                <w:sz w:val="20"/>
                <w:szCs w:val="20"/>
                <w:color w:val="auto"/>
              </w:rPr>
            </w:pPr>
            <w:r>
              <w:rPr>
                <w:rFonts w:ascii="Times New Roman" w:cs="Times New Roman" w:eastAsia="Times New Roman" w:hAnsi="Times New Roman"/>
                <w:sz w:val="14"/>
                <w:szCs w:val="14"/>
                <w:color w:val="auto"/>
                <w:w w:val="99"/>
              </w:rPr>
              <w:t>71</w:t>
            </w:r>
          </w:p>
        </w:tc>
      </w:tr>
      <w:tr>
        <w:trPr>
          <w:trHeight w:val="18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 credits</w:t>
            </w: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jc w:val="center"/>
              <w:ind w:left="609"/>
              <w:spacing w:after="0"/>
              <w:rPr>
                <w:sz w:val="20"/>
                <w:szCs w:val="20"/>
                <w:color w:val="auto"/>
              </w:rPr>
            </w:pPr>
            <w:r>
              <w:rPr>
                <w:rFonts w:ascii="Times New Roman" w:cs="Times New Roman" w:eastAsia="Times New Roman" w:hAnsi="Times New Roman"/>
                <w:sz w:val="14"/>
                <w:szCs w:val="14"/>
                <w:color w:val="auto"/>
              </w:rPr>
              <w:t>(23)</w:t>
            </w:r>
          </w:p>
        </w:tc>
      </w:tr>
      <w:tr>
        <w:trPr>
          <w:trHeight w:val="180"/>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Reclassifications into Accrued distribution expenses and sales-related allowances</w:t>
            </w:r>
          </w:p>
        </w:tc>
        <w:tc>
          <w:tcPr>
            <w:tcW w:w="9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left="629"/>
              <w:spacing w:after="0"/>
              <w:rPr>
                <w:sz w:val="20"/>
                <w:szCs w:val="20"/>
                <w:color w:val="auto"/>
              </w:rPr>
            </w:pPr>
            <w:r>
              <w:rPr>
                <w:rFonts w:ascii="Times New Roman" w:cs="Times New Roman" w:eastAsia="Times New Roman" w:hAnsi="Times New Roman"/>
                <w:sz w:val="14"/>
                <w:szCs w:val="14"/>
                <w:color w:val="auto"/>
                <w:w w:val="99"/>
              </w:rPr>
              <w:t>—</w:t>
            </w:r>
          </w:p>
        </w:tc>
      </w:tr>
      <w:tr>
        <w:trPr>
          <w:trHeight w:val="196"/>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96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center"/>
              <w:ind w:left="629"/>
              <w:spacing w:after="0"/>
              <w:rPr>
                <w:sz w:val="20"/>
                <w:szCs w:val="20"/>
                <w:color w:val="auto"/>
              </w:rPr>
            </w:pPr>
            <w:r>
              <w:rPr>
                <w:rFonts w:ascii="Times New Roman" w:cs="Times New Roman" w:eastAsia="Times New Roman" w:hAnsi="Times New Roman"/>
                <w:sz w:val="14"/>
                <w:szCs w:val="14"/>
                <w:color w:val="auto"/>
                <w:w w:val="99"/>
              </w:rPr>
              <w:t>48</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 xml:space="preserve">Accruals for returns allowances and prompt pay discounts are reflected as a direct reduction of trade receivables as of December 31, 2025 and 2024, and accruals for wholesaler service fees, co-pay support redemptions and other rebates are reflected as current liabilities. The accrued balances relative to these provisions included in Trade and other receivables, net and accrued expenses were $0 and $906, respectively, as of December 31, 2025, and $48 and $665, respectively, as of December 31, 2024. See Note 14, </w:t>
      </w:r>
      <w:r>
        <w:rPr>
          <w:rFonts w:ascii="Times New Roman" w:cs="Times New Roman" w:eastAsia="Times New Roman" w:hAnsi="Times New Roman"/>
          <w:sz w:val="14"/>
          <w:szCs w:val="14"/>
          <w:i w:val="1"/>
          <w:iCs w:val="1"/>
          <w:color w:val="auto"/>
        </w:rPr>
        <w:t>Accrued Expenses</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Concentration of Major Customers</w:t>
      </w:r>
    </w:p>
    <w:p>
      <w:pPr>
        <w:spacing w:after="0" w:line="9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Customers are considered major customers when net revenue exceeds 10% of total revenue for the period or outstanding receivable balances exceed 10% of total receivables. For the year ended December 31, 2025, Indivor and Hypera represented approximately 73% and 17% of total revenue, respectively. As of December 31, 2025, Indivor and Hypera exceeded the 10% threshold for outstanding receivable balances and represented 69% and 25%, respectively, of total trade and other receivables. For the year ended December 31, 2024, Indivor and Haisco represented approximately 62% and 12% of total revenue including the one-time recognition of deferred revenue for Haisco, respectively. As of December 31, 2024, Indivor and Hypera exceeded the 10% threshold for outstanding receivable balances and represented 41% and 16%, respectively of total trade and other receivables.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05" w:name="page106"/>
    <w:bookmarkEnd w:id="105"/>
    <w:p>
      <w:pPr>
        <w:spacing w:after="0"/>
        <w:tabs>
          <w:tab w:leader="none" w:pos="580" w:val="left"/>
        </w:tabs>
        <w:rPr>
          <w:sz w:val="20"/>
          <w:szCs w:val="20"/>
          <w:color w:val="auto"/>
        </w:rPr>
      </w:pPr>
      <w:r>
        <w:rPr>
          <w:rFonts w:ascii="Times New Roman" w:cs="Times New Roman" w:eastAsia="Times New Roman" w:hAnsi="Times New Roman"/>
          <w:sz w:val="14"/>
          <w:szCs w:val="14"/>
          <w:b w:val="1"/>
          <w:bCs w:val="1"/>
          <w:color w:val="auto"/>
        </w:rPr>
        <w:t>Note 7.</w:t>
        <w:tab/>
        <w:t>Material Agreements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Purchase and Sale agreement with RTW Investments LP</w:t>
      </w:r>
    </w:p>
    <w:p>
      <w:pPr>
        <w:spacing w:after="0" w:line="9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4"/>
          <w:szCs w:val="14"/>
          <w:color w:val="auto"/>
        </w:rPr>
        <w:t>On August 13, 2025, the Company entered into a purchase and sale agreement ("Purchase and Sale Agreement") with funds managed by RTW Investments LP ("RTW" or "Purchaser"). Under the terms of the Purchase and Sale Agreement, in exchange for the Purchaser's payment to the Company of a purchase price of $75,000, upon approval of Anaphylm by the FDA by a specified date, the refinancing of the Company’s existing 13.5% Notes and certain other customary conditions, the Company agreed to a sale of assigned interests to the Purchaser, including a right for the Purchaser to tiered revenue share payments ranging from 7.5% to 1.0% of net sales as defined in the Purchase Agreement (and 9.5% for the subsequent calendar year period if net sales do not achieve specified level in a calendar year period beginning in 2027) in the United States. Revenue share payments commence in the first fiscal quarter in which the first commercial sale of Anaphylm in the United States after the closing of the transaction. Revenue share payments will cease upon the Purchaser's receipt of $187,500 by December 31, 2035 or $225,000 thereafter. The Purchase and Sale Agreement contains customary affirmative and negative covenants, including covenants that limit or restrict the Company’s ability to, among other things, incur indebtedness (which restrictions are eliminated after the achievement by the Purchaser of a specified return on its investment), and other provisions customary for transactions of this nature, in each case subject to certain exceptions set forth in the Purchase and Sale Agreement. As this financing is contingent on events that have not occurred yet and are outside of the Company's control, the accounting consequences for this transaction as of and for the year ended December 31, 2025 have been limited to capitalized legal fees of approximately $700 recorded within Other current assets on the Balance Sheets.</w:t>
      </w:r>
    </w:p>
    <w:p>
      <w:pPr>
        <w:spacing w:after="0" w:line="6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On March 3, 2026, the Company entered into Amendment No. 1 to the Purchase and Sale Agreement, dated August 13, 2025, with funds managed by RTW. The Amendment extends the Marketing Approval Deadline from its original date to June 30, 2027. Concurrently, the Company entered into a Warrant Issuance Agreement with funds managed by RTW, pursuant to which the Company agreed to issue a warrant to purchase up to 375,000 shares of the Company's Common Stock at an exercise price of $4.00 per share, expiring on March 3, 2029. On March 3, 2026, the Company also entered into a Share Purchase Commitment Agreement with certain RTW-affiliated funds, pursuant to which such funds committed to purchase, in the aggregate, not less than $5.0 million of Common Stock during the 90-day period following the effective date of the agreement, at prices determined in accordance with Rule 415(a)(4) under the Securities Act.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Commercial Exploitation Agreement with Indivior</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August 2008, the Company entered into the Indivior License Agreement (with subsequent amendments) with Reckitt Benckiser Pharmaceuticals, Inc. who was later succeeded to in interest by Indivior. Pursuant to the Indivior License Agreement, the Company agreed to manufacture and supply Indivior’s requirements for Suboxone, a sublingual film formulation, both inside and outside the United States on an exclusive basis.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Under the terms of the Indivior License Agreement, the Company is required to manufacture Suboxone in accordance with current Good Manufacturing Practice standards and according to the specifications and processes set forth in the related quality agreements the Company entered into with Indivior. Additionally, the Company is required to obtain API for the manufacture of Suboxone directly from Indivior. The Indivior License Agreement specifies a minimum annual threshold quantity of Suboxone that the Company is obligated to fill and requires Indivior to provide the Company with a forecast of its requirements at various specified times throughout the year. The Indivior License Agreement provides for payment by Indivior of an agreed upon purchase price per unit until January 1, 2025 and, thereafter, that is subject to annual adjustments based on changes in an agreed upon price index. In addition to the purchase price for the Suboxone supplied, Indivior is required to make certain single digit percentage royalty payments tied to net sales value (as provided for in the Indivior License Agreement) outside of the U.S., subject to annual maximum amounts and limited to the life of the related patents.</w:t>
      </w:r>
    </w:p>
    <w:p>
      <w:pPr>
        <w:spacing w:after="0" w:line="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Indivior License Agreement contains customary contractual termination provisions, including with respect to a filing for bankruptcy or corporate dissolution, an invalidation of the intellectual property surrounding Suboxone, and commission of a material breach of the Indivior License Agreement by either party. Additionally, Indivior may terminate the Indivior License Agreement if the FDA or other applicable regulatory authority declares the Company’s manufacturing site to no longer be suitable for the manufacture of Suboxone or Suboxone is no longer suitable to be manufactured due to health or safety reasons. The initial term of the Indivior License Agreement was seven years from the commencement date. Thereafter, the Indivior License Agreement automatically renewed for successive one-year periods.</w:t>
      </w:r>
    </w:p>
    <w:p>
      <w:pPr>
        <w:spacing w:after="0" w:line="5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Effective as of March 2, 2023, the Company and Indivior entered into the Indivior Amendment to the Indivior License Agreement. The Indivior Amendment was entered into for the primary purpose of amending the Agreement as follows: (i) extending the term of the Agreement until August 16, 2026 and thereafter providing for automatic renewal terms of successive one-year periods unless Indivior delivers notice to the Company, at least twelve months prior to the expiration of the then current term, of Indivior’s intent not to renew, subject to the earlier termination rights of the parties under the Agreement, and providing that the Agreement will not automatically renew for any renewal term beginning after the expiration of the last to</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color w:val="auto"/>
        </w:rPr>
        <w:t>expire of the product patents covered under the Indivior License Agreement; and (ii) agreeing to transfer pricing and payment terms for supplied product under the Indivior License Agreement.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License Agreement with Sunovion Pharmaceuticals, Inc.</w:t>
      </w:r>
    </w:p>
    <w:p>
      <w:pPr>
        <w:spacing w:after="0" w:line="9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On April 1, 2016, the Company entered into a license agreement with Cynapsus Therapeutics Inc. (which was later succeeded to in interest by Sunovion), referred to as the Sunovion License Agreement, pursuant to which Sunovion obtained an exclusive, worldwide license (with the right to sub-license) to certain intellectual property, including existing and future patents and patent applications, covering all oral films containing apomorphine for the treatment of off episodes in Parkinson’s disease patients. Sunovion used this intellectual property to develop its apomorphine product KYNMOBI, which was approved by the FDA on May 21, 2020. This approval triggered Sunovion’s obligation to remit a payment of $4,000, due on the earlier of: (a) the first day of product availability at a pharmacy in the United States; or (b) within six months of FDA approval of the product. This amount was received as of September 30, 2020 and was included in License and royalty revenues for the twelve months ended December 31, 2020.</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Effective March 16, 2020, the Company entered into the First Amendment. The First Amendment was entered into for the primary purpose of amending the Sunovion License Agreement 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follows: (i) including the United Kingdom and any other country currently in the EU which later withdraws as a member country in the EU for purpose of determining the satisfaction of the condition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triggering the obligation to pay the third milestone due under the Sunovion License Agreement, (ii) extending the date after which Sunovion has the right to terminate the Sunovion License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Agreement for convenience from December 31, 2024 to March 31, 2028, (iii) modifying the effective inception date of the first minimum annual royalty due from Sunovion to the Company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January 1, 2020 to April 1, 2020, and (iv) modifying the termination provision to reflect the Company’s waiver of the right to terminate the Sunovion License Agreement in the event that KYNMOBI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was not commercialized by January 1, 2020. This Sunovion License Agreement will continue until terminated by Sunovion in accordance with the termination provisions of the First Amendment.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Sunovion License Agreement continues (on a country-by-country basis) until the expiration of all applicable licensed patents unless earlier terminated under the termination provisions contained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therein. Upon termination of the Sunovion License Agreement, all rights to intellectual property granted to Sunovion to develop and commercialize apomorphine-based products will revert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w:t>
      </w:r>
    </w:p>
    <w:p>
      <w:pPr>
        <w:spacing w:after="0" w:line="7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On October 23, 2020, the Company amended the Sunovion License Agreement to clarify the parties' agreement with respect to certain provisions in the Sunovion License Agreement, specifically the date after which Sunovion has the right to terminate the Sunovion License Agreement and the rights and obligations of the parties regarding the prosecution and maintenance of the Company’s patents covered under the Sunovion License Agreement.</w:t>
      </w:r>
    </w:p>
    <w:p>
      <w:pPr>
        <w:spacing w:after="0" w:line="5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consideration of the rights granted to Sunovion under the Sunovion License Agreement, the Company received aggregate payments totaling $22,000 to date. In addition to the upfront payment of $5,000, the Company has also earned an aggregate of $17,000 in connection with specified regulatory and development milestones in the United States and Europe (the “Initial Milestone Payments”), all of which have been received to date. With the Monetization Agreement (defined below) entered into on November 3, 2020 relating to KYNMOBI as described in the paragraph below, the Company is no longer entitled to receive any payments under the Sunovion License Agreement.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Purchase and Sale Agreement with an affiliate of Marathon</w:t>
      </w:r>
    </w:p>
    <w:p>
      <w:pPr>
        <w:spacing w:after="0" w:line="9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On November 3, 2020, the Company entered into the Monetization Agreement with Marathon. Under the terms of the Monetization Agreement, the Company sold to Marathon all of its contractual rights to receive royalties and milestone payments due under the Sunovion License Agreement related to Sunovion’s apomorphine product, KYNMOBI. In exchange for the sale of these rights, the Company received an upfront payment from Marathon of $40,000 and an additional payment of $10,000 through the achievement of the first milestone. The Company has received an aggregate amount of $50,000 through December 31, 2025 under the Monetization Agreement.</w:t>
      </w:r>
    </w:p>
    <w:p>
      <w:pPr>
        <w:spacing w:after="0" w:line="5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 xml:space="preserve">Under the Monetization Agreement, additional contingent payments of up to $75,000 may be due to the Company upon the achievement of worldwide royalty and other commercial targets within a specified timeframe, which could result in total potential proceeds of $125,000. In June 2023, Sunovion announced that it has voluntarily withdrawn KYNMOBI from the U.S. and Canadian markets, therefore, the Company likely will not receive any of the additional contingent payments under the Monetization agreement. See Note 17, </w:t>
      </w:r>
      <w:r>
        <w:rPr>
          <w:rFonts w:ascii="Times New Roman" w:cs="Times New Roman" w:eastAsia="Times New Roman" w:hAnsi="Times New Roman"/>
          <w:sz w:val="14"/>
          <w:szCs w:val="14"/>
          <w:i w:val="1"/>
          <w:iCs w:val="1"/>
          <w:color w:val="auto"/>
        </w:rPr>
        <w:t>Sale of Future Revenue</w:t>
      </w:r>
      <w:r>
        <w:rPr>
          <w:rFonts w:ascii="Times New Roman" w:cs="Times New Roman" w:eastAsia="Times New Roman" w:hAnsi="Times New Roman"/>
          <w:sz w:val="14"/>
          <w:szCs w:val="14"/>
          <w:color w:val="auto"/>
        </w:rPr>
        <w:t xml:space="preserve"> for further details on the accounting for the Monetization Agreement.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Agreement to Terminate CLA with Zevra Therapeutics, Inc. (formerly KemPharm)</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March 2012, the Company entered into an agreement with Zevra to terminate a Collaboration and License Agreement entered into by the Company and Zevra in April 2011. Under this termination arrangement, the Company has the right to participate in any and all value that Zevra may derive from the commercialization or any other monetization of KP-415 and KP-484 compounds or their derivatives. Among these monetization transactions are those related to any business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07" w:name="page108"/>
    <w:bookmarkEnd w:id="107"/>
    <w:p>
      <w:pPr>
        <w:ind w:right="680"/>
        <w:spacing w:after="0" w:line="334" w:lineRule="auto"/>
        <w:rPr>
          <w:sz w:val="20"/>
          <w:szCs w:val="20"/>
          <w:color w:val="auto"/>
        </w:rPr>
      </w:pPr>
      <w:r>
        <w:rPr>
          <w:rFonts w:ascii="Times New Roman" w:cs="Times New Roman" w:eastAsia="Times New Roman" w:hAnsi="Times New Roman"/>
          <w:sz w:val="14"/>
          <w:szCs w:val="14"/>
          <w:color w:val="auto"/>
        </w:rPr>
        <w:t>combinations involving Zevra and collaborations, royalty arrangements, or other transactions from which Zevra may realize value from these compounds, including the product Azstarys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Licensing and Supply Agreement with Haisco for Exservan™ (Riluzole Oral Film) for ALS Treatment in China</w:t>
      </w: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The Company entered into the Haisco Agreement with Haisco, effective as of March 3, 2022, pursuant to which Aquestive granted Haisco an exclusive license to develop and commercialize Exservan™ (riluzole oral film) for the treatment of ALS in China. Under the terms of the Haisco Agreement, Aquestive was the exclusive sole manufacturer and supplier for Exservan in China. Under the Haisco Agreement, as amended, the Company received a $7,000 upfront cash payment in September 2022 and was entitled to receive regulatory milestone payments and double-digit royalties on net sales of Exservan in China and earn manufacturing revenue upon the sale of Exservan in China. In June 2024, the Haisco Agreement was terminated, and the Company will not receive any contingent payments under the Haisco Agreement. The termination agreement released all parties from any existing or ongoing obligations. Commissions of $134 that had been capitalized were expensed immediately in Selling, general, and administrative expenses on the Statements of Operations and Comprehensive Loss for the year ended December 31, 2024. The Company recognized previously deferred revenue of $7,000 for the upfront payment received in September 2022 on the Company's financial statements for the year ended December 31, 2024.</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Licensing and Supply Agreement with Atnahs Pharma UK Limited</w:t>
      </w:r>
    </w:p>
    <w:p>
      <w:pPr>
        <w:spacing w:after="0" w:line="9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The Company entered into the Pharmanovia Agreement, effective as of September 26, 2022, pursuant to which the Company granted Pharmanovia an exclusive license to certain of the Company’s intellectual property to develop and commercialize Libervant (diazepam) Buccal Film for the treatment of prolonged or acute, convulsive seizures in all ages in the Territory during the term of the Pharmanovia Agreement. Under the Pharmanovia Agreement, Pharmanovia will lead the regulatory and commercialization activities for Libervant in the Territory and the Company will serve as the exclusive sole manufacturer and supplier of Libervant in the Territory. Pursuant to the Pharmanovia Agreement, the Company received $3,500 upon agreement execution and upon the occurrence of certain conditions set forth in the Pharmanovia Agreement, will receive additional milestone payments and profit shares, as well as manufacturing fees and royalty fees through the expiration of the Pharmanovia Agreement.</w:t>
      </w:r>
    </w:p>
    <w:p>
      <w:pPr>
        <w:spacing w:after="0" w:line="6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Effective March 27, 2023, the Company amended the Pharmanovia Agreement to expand the scope of territory for the license of Libervant to cover the rest of the world, excluding the U.S., Canada and China. Under the Pharmanovia Amendment, Pharmanovia will be responsible for seeking applicable regulatory approval in the expanded territories, which include Latin America, Africa and Asia Pacific. Pursuant to the terms of the Pharmanovia Amendment, the Company received a non-refundable payment of $2,000 from Pharmanovia in connection with the execution of the Pharmanovia Amendment.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Licensing Agreement with Assertio Holdings, Inc.</w:t>
      </w:r>
    </w:p>
    <w:p>
      <w:pPr>
        <w:spacing w:after="0" w:line="96" w:lineRule="exact"/>
        <w:rPr>
          <w:sz w:val="20"/>
          <w:szCs w:val="20"/>
          <w:color w:val="auto"/>
        </w:rPr>
      </w:pPr>
    </w:p>
    <w:p>
      <w:pPr>
        <w:jc w:val="both"/>
        <w:ind w:firstLine="509"/>
        <w:spacing w:after="0" w:line="172" w:lineRule="exact"/>
        <w:rPr>
          <w:sz w:val="20"/>
          <w:szCs w:val="20"/>
          <w:color w:val="auto"/>
        </w:rPr>
      </w:pPr>
      <w:r>
        <w:rPr>
          <w:rFonts w:ascii="Times New Roman" w:cs="Times New Roman" w:eastAsia="Times New Roman" w:hAnsi="Times New Roman"/>
          <w:sz w:val="14"/>
          <w:szCs w:val="14"/>
          <w:color w:val="auto"/>
        </w:rPr>
        <w:t>Effective as of October 26, 2022, the Company entered into the Assertio Agreement to license Sympazan (clobazam) oral film for the adjunctive treatment of seizures associated with Lennox</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Gastaut syndrome in patients aged two years of age and older. Under the terms of the Assertio Agreement, the Company granted to Assertio an exclusive, worldwide license of its intellectual property for Sympazan to Assertio during the term of the Assertio License Agreement for an upfront payment of $9,000. In addition, Aquestive received a $6,000 milestone payment subsequent to Aquestive’s receipt of a notice of allowance from the PTO of the Company’s patent application U.S. Serial No. 16/561,573, and payment by the Company of the related allowance fee. The Company received the notice of allowance from the PTO and paid the related allowance fee on October 27, 2022. Further, under the Assertio Agreement, the Company will receive royalties from Assertio for the sale of the product through the expiration of the Assertio Agreement. The Company also entered into a long-term supply agreement with Assertio for Sympazan pursuant to which the Company is the exclusive sole worldwide manufacturer and supplier of the product and will receive manufacturing fees from Assertio for the product through the expiration of such supply agreement.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Licensing Agreement with Mitsubishi Tanabe Pharma America, Inc.</w:t>
      </w:r>
    </w:p>
    <w:p>
      <w:pPr>
        <w:spacing w:after="0" w:line="9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In January 2021, the Company announced that Aquestive granted an exclusive license to MTPA for the commercialization of Exservan in the United States. MTPA is a multinational pharmaceutical company with a focus on patients with ALS. The product was launched by MTPA in June 2021. Under the terms of the MTPA license agreement, Aquestive was the exclusive manufacturer and supplier of Exservan for MTPA in the United States. In June 2024, under the Second Amendment to the License and Supply Agreement, MTPA and the Company mutually agreed to terminate the agreement. As of June 30, 2024 and as part of the termination, the parties were released from any existing or ongoing obligations (except for certain limited non-material post-termination obligations). Upon termination, previously deferred revenue of $3,317 was recognized for milestone payments that had been received on the Company's financial statements for the year ended December 31, 2024. Commissions of $57 that had been capitalized were expensed immediately in Selling, general, and administrative expenses on the Statements of Operations and Comprehensive Loss for the year ended December 31, 2024.</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108" w:name="page109"/>
    <w:bookmarkEnd w:id="108"/>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Note 8.</w:t>
      </w:r>
      <w:r>
        <w:rPr>
          <w:sz w:val="20"/>
          <w:szCs w:val="20"/>
          <w:color w:val="auto"/>
        </w:rPr>
        <w:tab/>
      </w:r>
      <w:r>
        <w:rPr>
          <w:rFonts w:ascii="Times New Roman" w:cs="Times New Roman" w:eastAsia="Times New Roman" w:hAnsi="Times New Roman"/>
          <w:sz w:val="13"/>
          <w:szCs w:val="13"/>
          <w:b w:val="1"/>
          <w:bCs w:val="1"/>
          <w:color w:val="auto"/>
        </w:rPr>
        <w:t>Financial Instruments – Fair Value Measurements</w:t>
      </w:r>
    </w:p>
    <w:p>
      <w:pPr>
        <w:spacing w:after="0" w:line="9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Certain assets and liabilities are reported on a recurring basis at fair value.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56" w:lineRule="exact"/>
        <w:rPr>
          <w:sz w:val="20"/>
          <w:szCs w:val="20"/>
          <w:color w:val="auto"/>
        </w:rPr>
      </w:pPr>
    </w:p>
    <w:p>
      <w:pPr>
        <w:ind w:left="520" w:hanging="133"/>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 Observable quoted prices in active markets for identical assets or liabilities.</w:t>
      </w:r>
    </w:p>
    <w:p>
      <w:pPr>
        <w:spacing w:after="0" w:line="93"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 Observable prices that are based on inputs not quoted on active markets but corroborated by market data.</w:t>
      </w:r>
    </w:p>
    <w:p>
      <w:pPr>
        <w:spacing w:after="0" w:line="93"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 Unobservable inputs that are supported by little or no market activity, such as pricing models, discounted cash flow methodologies and similar techniques.</w:t>
      </w:r>
    </w:p>
    <w:p>
      <w:pPr>
        <w:spacing w:after="0" w:line="9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carrying amounts reported in the balance sheets for trade and other receivables, prepaid and other current assets, accounts payable and accrued expenses, and deferred revenue approximate their fair values based on the short-term maturity of these assets and liabilities.</w:t>
      </w:r>
    </w:p>
    <w:p>
      <w:pPr>
        <w:spacing w:after="0" w:line="39"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Company granted warrants to certain noteholders in connection with its debt repayment and debt refinancing of the 12.5% Notes during 2020 and 2019, respectively. Those warrants were valued based on Level 3 inputs and their fair value was based primarily on an independent third-party appraisal prepared as of the grant date consistent with generally accepted valuation methods of the Uniform Standards of Professional Appraisal Practice, the American Society of Appraisers and the American Institute of Certified Public Accountants’ Accounting and Valuation Guide, Valuation of Privately-Held Company Equity Securities Issued as Compensation. The warrants expired on June 30, 2025. See Note 16</w:t>
      </w:r>
      <w:r>
        <w:rPr>
          <w:rFonts w:ascii="Times New Roman" w:cs="Times New Roman" w:eastAsia="Times New Roman" w:hAnsi="Times New Roman"/>
          <w:sz w:val="14"/>
          <w:szCs w:val="14"/>
          <w:i w:val="1"/>
          <w:iCs w:val="1"/>
          <w:color w:val="auto"/>
        </w:rPr>
        <w:t>, Warrants</w:t>
      </w:r>
      <w:r>
        <w:rPr>
          <w:rFonts w:ascii="Times New Roman" w:cs="Times New Roman" w:eastAsia="Times New Roman" w:hAnsi="Times New Roman"/>
          <w:sz w:val="14"/>
          <w:szCs w:val="14"/>
          <w:color w:val="auto"/>
        </w:rPr>
        <w:t xml:space="preserve"> for further information on these warrants.</w:t>
      </w:r>
    </w:p>
    <w:p>
      <w:pPr>
        <w:spacing w:after="0" w:line="5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June 2022, the Company issued pre-funded warrants to purchase up to 4,000,000 shares of Common Stock and Common Stock Warrants to purchase up to 8,850,000 shares of Common Stock in connection with its Securities Purchase Agreements with certain purchasers. Those warrants were valued based on Level 3 inputs and their fair value was based primarily on an independent third-party appraisal prepared as of the grant date consistent with generally accepted valuation methods of the Uniform Standards of Professional Appraisal Practice, the American Society of Appraisers and the American Institute of Certified Public Accountants’ Accounting and Valuation Guide. See Note 16</w:t>
      </w:r>
      <w:r>
        <w:rPr>
          <w:rFonts w:ascii="Times New Roman" w:cs="Times New Roman" w:eastAsia="Times New Roman" w:hAnsi="Times New Roman"/>
          <w:sz w:val="14"/>
          <w:szCs w:val="14"/>
          <w:i w:val="1"/>
          <w:iCs w:val="1"/>
          <w:color w:val="auto"/>
        </w:rPr>
        <w:t>, Warrants</w:t>
      </w:r>
      <w:r>
        <w:rPr>
          <w:rFonts w:ascii="Times New Roman" w:cs="Times New Roman" w:eastAsia="Times New Roman" w:hAnsi="Times New Roman"/>
          <w:sz w:val="14"/>
          <w:szCs w:val="14"/>
          <w:color w:val="auto"/>
        </w:rPr>
        <w:t xml:space="preserve"> for further information on these warrants.</w:t>
      </w:r>
    </w:p>
    <w:p>
      <w:pPr>
        <w:spacing w:after="0" w:line="5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On August 1, 2023, the Company entered into the Letter Agreement with the Exercising Holder of the remaining warrants to purchase 5,000,000 of the shares of Common Stock. Pursuant to the Letter Agreement, the Exercising Holder and the Company agreed that the Exercising Holder would exercise all of its Existing Warrants for shares of Common Stock underlying the Existing Warrants at $0.96 per share of Common Stock, the current exercise price of the Existing Warrants. Under the Letter Agreement, in consideration of the Exercising Holder exercising the Existing Warrants, the Company issued to the Exercising Holder new warrants to purchase up to an aggregate of 2,750,000 shares of New Warrants at $2.60 per share. Those warrants were valued based on Level 3 inputs and their fair value was based primarily on an independent third-party appraisal prepared as of the grant date consistent with generally accepted valuation methods of the Uniform Standards of Professional Appraisal Practice, the American Society of Appraisers and the American Institute of Certified Public Accountants’ Accounting and Valuation Guide. See Note 16</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Warrants </w:t>
      </w:r>
      <w:r>
        <w:rPr>
          <w:rFonts w:ascii="Times New Roman" w:cs="Times New Roman" w:eastAsia="Times New Roman" w:hAnsi="Times New Roman"/>
          <w:sz w:val="14"/>
          <w:szCs w:val="14"/>
          <w:color w:val="auto"/>
        </w:rPr>
        <w:t>for further information on these warrants.</w:t>
      </w:r>
    </w:p>
    <w:p>
      <w:pPr>
        <w:spacing w:after="0" w:line="6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On November 1, 2023, in connection with the issuance of the 13.5% Notes, the Company and the Note Holders entered into the Royalty Right Agreements dated as of November 1, 2023, which provides the Note Holders:</w:t>
      </w:r>
    </w:p>
    <w:p>
      <w:pPr>
        <w:spacing w:after="0" w:line="145" w:lineRule="exact"/>
        <w:rPr>
          <w:sz w:val="20"/>
          <w:szCs w:val="20"/>
          <w:color w:val="auto"/>
        </w:rPr>
      </w:pPr>
    </w:p>
    <w:p>
      <w:pPr>
        <w:ind w:left="520" w:hanging="260"/>
        <w:spacing w:after="0" w:line="263" w:lineRule="auto"/>
        <w:tabs>
          <w:tab w:leader="none" w:pos="51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tiered royalty between 1.0% and 2.0% of annual worldwide net sales of Anaphylm (epinephrine) Sublingual Film for a period of eight years from the first sale of Anaphylm on a global basis, and</w:t>
      </w:r>
    </w:p>
    <w:p>
      <w:pPr>
        <w:ind w:left="520" w:hanging="260"/>
        <w:spacing w:after="0" w:line="266" w:lineRule="auto"/>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tiered royalty between 1.0% to 2.0% of annual worldwide net sales of Libervant (diazepam) Buccal Film until the earlier of (1) the first sale of Anaphylm and (2) eight years from the first sale of Libervant.</w:t>
      </w:r>
    </w:p>
    <w:p>
      <w:pPr>
        <w:spacing w:after="0" w:line="5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 xml:space="preserve">Those Royalty Agreements were valued based on Level 3 inputs and their fair value was based primarily on internal management estimates developed based on third-party data and reflect management’s judgments, current market conditions, and forecasts. The initial fair value measurement of the Royalty Right Agreements was determined based on significant unobservable inputs, including the discount rate, estimated probabilities of success, and the estimated amount of future sales of Anaphylm and Libervant. See Note 15,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for further discussion.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9.  Inventories, Net</w:t>
            </w:r>
          </w:p>
        </w:tc>
        <w:tc>
          <w:tcPr>
            <w:tcW w:w="1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9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Inventory consists of the following:</w:t>
            </w:r>
          </w:p>
        </w:tc>
        <w:tc>
          <w:tcPr>
            <w:tcW w:w="1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4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96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1"/>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w:t>
            </w:r>
          </w:p>
        </w:tc>
        <w:tc>
          <w:tcPr>
            <w:tcW w:w="1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3,143</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3,266</w:t>
            </w:r>
          </w:p>
        </w:tc>
        <w:tc>
          <w:tcPr>
            <w:tcW w:w="0" w:type="dxa"/>
            <w:vAlign w:val="bottom"/>
          </w:tcPr>
          <w:p>
            <w:pPr>
              <w:spacing w:after="0"/>
              <w:rPr>
                <w:sz w:val="1"/>
                <w:szCs w:val="1"/>
                <w:color w:val="auto"/>
              </w:rPr>
            </w:pPr>
          </w:p>
        </w:tc>
      </w:tr>
      <w:tr>
        <w:trPr>
          <w:trHeight w:val="180"/>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Packaging material</w:t>
            </w:r>
          </w:p>
        </w:tc>
        <w:tc>
          <w:tcPr>
            <w:tcW w:w="1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2,362</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2,135</w:t>
            </w:r>
          </w:p>
        </w:tc>
        <w:tc>
          <w:tcPr>
            <w:tcW w:w="0" w:type="dxa"/>
            <w:vAlign w:val="bottom"/>
          </w:tcPr>
          <w:p>
            <w:pPr>
              <w:spacing w:after="0"/>
              <w:rPr>
                <w:sz w:val="1"/>
                <w:szCs w:val="1"/>
                <w:color w:val="auto"/>
              </w:rPr>
            </w:pPr>
          </w:p>
        </w:tc>
      </w:tr>
      <w:tr>
        <w:trPr>
          <w:trHeight w:val="18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1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0" w:type="dxa"/>
            <w:vAlign w:val="bottom"/>
          </w:tcPr>
          <w:p>
            <w:pPr>
              <w:spacing w:after="0"/>
              <w:rPr>
                <w:sz w:val="1"/>
                <w:szCs w:val="1"/>
                <w:color w:val="auto"/>
              </w:rPr>
            </w:pPr>
          </w:p>
        </w:tc>
      </w:tr>
      <w:tr>
        <w:trPr>
          <w:trHeight w:val="171"/>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inventory</w:t>
            </w: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6,169</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6,044</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10. Property and Equipment, Net</w:t>
            </w: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96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33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340" w:type="dxa"/>
            <w:vAlign w:val="bottom"/>
          </w:tcPr>
          <w:p>
            <w:pPr>
              <w:spacing w:after="0"/>
              <w:rPr>
                <w:sz w:val="14"/>
                <w:szCs w:val="14"/>
                <w:color w:val="auto"/>
              </w:rPr>
            </w:pPr>
          </w:p>
        </w:tc>
        <w:tc>
          <w:tcPr>
            <w:tcW w:w="110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1"/>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Machinery</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15 years</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20,383</w:t>
            </w:r>
          </w:p>
        </w:tc>
        <w:tc>
          <w:tcPr>
            <w:tcW w:w="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20,317</w:t>
            </w:r>
          </w:p>
        </w:tc>
        <w:tc>
          <w:tcPr>
            <w:tcW w:w="0" w:type="dxa"/>
            <w:vAlign w:val="bottom"/>
          </w:tcPr>
          <w:p>
            <w:pPr>
              <w:spacing w:after="0"/>
              <w:rPr>
                <w:sz w:val="1"/>
                <w:szCs w:val="1"/>
                <w:color w:val="auto"/>
              </w:rPr>
            </w:pPr>
          </w:p>
        </w:tc>
      </w:tr>
      <w:tr>
        <w:trPr>
          <w:trHeight w:val="180"/>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15 years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0" w:type="dxa"/>
            <w:vAlign w:val="bottom"/>
          </w:tcPr>
          <w:p>
            <w:pPr>
              <w:spacing w:after="0"/>
              <w:rPr>
                <w:sz w:val="1"/>
                <w:szCs w:val="1"/>
                <w:color w:val="auto"/>
              </w:rPr>
            </w:pPr>
          </w:p>
        </w:tc>
      </w:tr>
      <w:tr>
        <w:trPr>
          <w:trHeight w:val="18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1520" w:type="dxa"/>
            <w:vAlign w:val="bottom"/>
            <w:shd w:val="clear" w:color="auto" w:fill="CCEEFF"/>
          </w:tcPr>
          <w:p>
            <w:pPr>
              <w:spacing w:after="0"/>
              <w:rPr>
                <w:sz w:val="15"/>
                <w:szCs w:val="15"/>
                <w:color w:val="auto"/>
              </w:rPr>
            </w:pP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21,419</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21,419</w:t>
            </w:r>
          </w:p>
        </w:tc>
        <w:tc>
          <w:tcPr>
            <w:tcW w:w="0" w:type="dxa"/>
            <w:vAlign w:val="bottom"/>
          </w:tcPr>
          <w:p>
            <w:pPr>
              <w:spacing w:after="0"/>
              <w:rPr>
                <w:sz w:val="1"/>
                <w:szCs w:val="1"/>
                <w:color w:val="auto"/>
              </w:rPr>
            </w:pPr>
          </w:p>
        </w:tc>
      </w:tr>
      <w:tr>
        <w:trPr>
          <w:trHeight w:val="180"/>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Computer, network equipment and software</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7 years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2,685</w:t>
            </w:r>
          </w:p>
        </w:tc>
        <w:tc>
          <w:tcPr>
            <w:tcW w:w="0" w:type="dxa"/>
            <w:vAlign w:val="bottom"/>
          </w:tcPr>
          <w:p>
            <w:pPr>
              <w:spacing w:after="0"/>
              <w:rPr>
                <w:sz w:val="1"/>
                <w:szCs w:val="1"/>
                <w:color w:val="auto"/>
              </w:rPr>
            </w:pPr>
          </w:p>
        </w:tc>
      </w:tr>
      <w:tr>
        <w:trPr>
          <w:trHeight w:val="18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1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2,203</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2,110</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47,914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47,300</w:t>
            </w:r>
          </w:p>
        </w:tc>
        <w:tc>
          <w:tcPr>
            <w:tcW w:w="0" w:type="dxa"/>
            <w:vAlign w:val="bottom"/>
          </w:tcPr>
          <w:p>
            <w:pPr>
              <w:spacing w:after="0"/>
              <w:rPr>
                <w:sz w:val="1"/>
                <w:szCs w:val="1"/>
                <w:color w:val="auto"/>
              </w:rPr>
            </w:pPr>
          </w:p>
        </w:tc>
      </w:tr>
      <w:tr>
        <w:trPr>
          <w:trHeight w:val="18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1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(44,021)</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(43,501)</w:t>
            </w:r>
          </w:p>
        </w:tc>
        <w:tc>
          <w:tcPr>
            <w:tcW w:w="0" w:type="dxa"/>
            <w:vAlign w:val="bottom"/>
          </w:tcPr>
          <w:p>
            <w:pPr>
              <w:spacing w:after="0"/>
              <w:rPr>
                <w:sz w:val="1"/>
                <w:szCs w:val="1"/>
                <w:color w:val="auto"/>
              </w:rPr>
            </w:pPr>
          </w:p>
        </w:tc>
      </w:tr>
      <w:tr>
        <w:trPr>
          <w:trHeight w:val="171"/>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property and equipment, net</w:t>
            </w: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3,893</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3,799</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Leasehold improvements are amortized over the shorter of the lease term or their estimated useful lives.</w:t>
      </w:r>
    </w:p>
    <w:p>
      <w:pPr>
        <w:spacing w:after="0" w:line="9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Total depreciation and amortization related to property and equipment was $548 and $640 for the years ended December 31, 2025 and 2024, respectively. No impairment losses were recognized for the years ended December 31, 2025 and 2024.</w:t>
      </w:r>
    </w:p>
    <w:p>
      <w:pPr>
        <w:spacing w:after="0" w:line="3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Note 11.</w:t>
        <w:tab/>
        <w:t>Right-of-Use Assets and Lease Obligations</w:t>
      </w:r>
    </w:p>
    <w:p>
      <w:pPr>
        <w:spacing w:after="0" w:line="9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Company leases all realty used at its production and warehouse facilities, corporate headquarters, commercialization operations center and research and laboratory facilities. None of these three leases include the characteristics specified in ASC 842, Leases, that require classification as financing leases and, accordingly, these leases are accounted for as operating leases. These leases, as amended, provide remaining terms between 2.2 years and 7.8 years, including renewal options expected to be exercised to extend the lease periods. Commitments under finance leases are not significant, and are included in Property and equipment, net, and Notes Payable, net on the Balance Sheets. See Part II, Properties for details.</w:t>
      </w:r>
    </w:p>
    <w:p>
      <w:pPr>
        <w:spacing w:after="0" w:line="5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Company does not recognize a right-to-use asset and lease liability for short-term leases, which have terms of 12 months or less on its Balance Sheets. For longer-term lease arrangements that are recognized on the Company's Balance sheets, the right-of-use asset and lease liability is initially measured at the commencement date based upon the present value of the lease payments due under the lease. These payments represent the combination of the fixed lease and fixed non-lease components that are due under the arrangement. The costs associated with the Company’s short-term leases, as well as variable costs relating to the Company’s lease arrangements, are not material to the financial results.</w:t>
      </w:r>
    </w:p>
    <w:p>
      <w:pPr>
        <w:spacing w:after="0" w:line="5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implicit interest rates of the Company’s lease arrangements are generally not readily determinable and as such, the Company applies an incremental borrowing rate, which is established based upon the information available at the lease commencement date, to determine the present value of lease payments due under an arrangement. Measurement of the operating lease liability reflects a range of an estimated discount rate of 14.8% to 15.6% applied to minimum lease payments, including expected renewals, based on the incremental borrowing rate experienced in the Company’s collateralized debt refinancing.</w:t>
      </w:r>
    </w:p>
    <w:p>
      <w:pPr>
        <w:spacing w:after="0" w:line="5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Company’s lease costs are recorded in manufacture and supply, R&amp;D and selling, general and administrative expenses in its Statements of Operations and Comprehensive Loss. For the years ended December 31, 2025 and 2024, total operating lease expenses totaled $1,783 and $1,814, respectively, including variable lease expenses such as common area maintenance and operating costs of $449 and $487, respectively.</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Company’s payments due under its operating leases are as follows: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20" w:type="dxa"/>
            <w:vAlign w:val="bottom"/>
            <w:vMerge w:val="restart"/>
          </w:tcPr>
          <w:p>
            <w:pPr>
              <w:spacing w:after="0"/>
              <w:rPr>
                <w:sz w:val="24"/>
                <w:szCs w:val="24"/>
                <w:color w:val="auto"/>
              </w:rPr>
            </w:pPr>
          </w:p>
        </w:tc>
        <w:tc>
          <w:tcPr>
            <w:tcW w:w="8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jc w:val="center"/>
              <w:ind w:left="429"/>
              <w:spacing w:after="0"/>
              <w:rPr>
                <w:sz w:val="20"/>
                <w:szCs w:val="20"/>
                <w:color w:val="auto"/>
              </w:rPr>
            </w:pPr>
            <w:r>
              <w:rPr>
                <w:rFonts w:ascii="Times New Roman" w:cs="Times New Roman" w:eastAsia="Times New Roman" w:hAnsi="Times New Roman"/>
                <w:sz w:val="14"/>
                <w:szCs w:val="14"/>
                <w:color w:val="auto"/>
              </w:rPr>
              <w:t>1,318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jc w:val="center"/>
              <w:ind w:left="429"/>
              <w:spacing w:after="0"/>
              <w:rPr>
                <w:sz w:val="20"/>
                <w:szCs w:val="20"/>
                <w:color w:val="auto"/>
              </w:rPr>
            </w:pPr>
            <w:r>
              <w:rPr>
                <w:rFonts w:ascii="Times New Roman" w:cs="Times New Roman" w:eastAsia="Times New Roman" w:hAnsi="Times New Roman"/>
                <w:sz w:val="14"/>
                <w:szCs w:val="14"/>
                <w:color w:val="auto"/>
              </w:rPr>
              <w:t>1,346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jc w:val="center"/>
              <w:ind w:left="429"/>
              <w:spacing w:after="0"/>
              <w:rPr>
                <w:sz w:val="20"/>
                <w:szCs w:val="20"/>
                <w:color w:val="auto"/>
              </w:rPr>
            </w:pPr>
            <w:r>
              <w:rPr>
                <w:rFonts w:ascii="Times New Roman" w:cs="Times New Roman" w:eastAsia="Times New Roman" w:hAnsi="Times New Roman"/>
                <w:sz w:val="14"/>
                <w:szCs w:val="14"/>
                <w:color w:val="auto"/>
              </w:rPr>
              <w:t>1,180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4"/>
                <w:szCs w:val="14"/>
                <w:color w:val="auto"/>
              </w:rPr>
              <w:t>2029</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jc w:val="center"/>
              <w:ind w:left="429"/>
              <w:spacing w:after="0"/>
              <w:rPr>
                <w:sz w:val="20"/>
                <w:szCs w:val="20"/>
                <w:color w:val="auto"/>
              </w:rPr>
            </w:pPr>
            <w:r>
              <w:rPr>
                <w:rFonts w:ascii="Times New Roman" w:cs="Times New Roman" w:eastAsia="Times New Roman" w:hAnsi="Times New Roman"/>
                <w:sz w:val="14"/>
                <w:szCs w:val="14"/>
                <w:color w:val="auto"/>
              </w:rPr>
              <w:t>1,000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2030 and thereafter</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jc w:val="center"/>
              <w:ind w:left="429"/>
              <w:spacing w:after="0"/>
              <w:rPr>
                <w:sz w:val="20"/>
                <w:szCs w:val="20"/>
                <w:color w:val="auto"/>
              </w:rPr>
            </w:pPr>
            <w:r>
              <w:rPr>
                <w:rFonts w:ascii="Times New Roman" w:cs="Times New Roman" w:eastAsia="Times New Roman" w:hAnsi="Times New Roman"/>
                <w:sz w:val="14"/>
                <w:szCs w:val="14"/>
                <w:color w:val="auto"/>
              </w:rPr>
              <w:t>2,915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4"/>
                <w:szCs w:val="14"/>
                <w:color w:val="auto"/>
              </w:rPr>
              <w:t>Total lease payments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jc w:val="center"/>
              <w:ind w:left="429"/>
              <w:spacing w:after="0"/>
              <w:rPr>
                <w:sz w:val="20"/>
                <w:szCs w:val="20"/>
                <w:color w:val="auto"/>
              </w:rPr>
            </w:pPr>
            <w:r>
              <w:rPr>
                <w:rFonts w:ascii="Times New Roman" w:cs="Times New Roman" w:eastAsia="Times New Roman" w:hAnsi="Times New Roman"/>
                <w:sz w:val="14"/>
                <w:szCs w:val="14"/>
                <w:color w:val="auto"/>
              </w:rPr>
              <w:t>7,759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imputed interest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rPr>
              <w:t>(2,791)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left="429"/>
              <w:spacing w:after="0"/>
              <w:rPr>
                <w:sz w:val="20"/>
                <w:szCs w:val="20"/>
                <w:color w:val="auto"/>
              </w:rPr>
            </w:pPr>
            <w:r>
              <w:rPr>
                <w:rFonts w:ascii="Times New Roman" w:cs="Times New Roman" w:eastAsia="Times New Roman" w:hAnsi="Times New Roman"/>
                <w:sz w:val="14"/>
                <w:szCs w:val="14"/>
                <w:color w:val="auto"/>
              </w:rPr>
              <w:t>4,968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12.  Intangible Assets, Net</w:t>
            </w: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3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following table provides the components of identifiable intangible assets, all of which are finite lived.</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Purchased intangible</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Purchased patent</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Less: accumulated amortization</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(4,367)</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left="429"/>
              <w:spacing w:after="0"/>
              <w:rPr>
                <w:sz w:val="20"/>
                <w:szCs w:val="20"/>
                <w:color w:val="auto"/>
              </w:rPr>
            </w:pPr>
            <w:r>
              <w:rPr>
                <w:rFonts w:ascii="Times New Roman" w:cs="Times New Roman" w:eastAsia="Times New Roman" w:hAnsi="Times New Roman"/>
                <w:sz w:val="14"/>
                <w:szCs w:val="14"/>
                <w:color w:val="auto"/>
              </w:rPr>
              <w:t>(4,367)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8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There was no amortization expense incurred during the year ended December 31, 2025. Amortization expense was $78 for the year ended December 31, 2024.</w:t>
      </w:r>
    </w:p>
    <w:p>
      <w:pPr>
        <w:spacing w:after="0" w:line="9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 xml:space="preserve">In June 2024, in connection with a termination of an agreement, the Company recorded a gain on termination of the contract in the amount of $1,500, which was partially offset by an adjustment to the remaining balance of $1,200 of the intangible asset. The net gain of $300 was recorded within Other income, net on the Statements of Operations and Comprehensive Loss for the year ended December 31, 2024. See Note 7, </w:t>
      </w:r>
      <w:r>
        <w:rPr>
          <w:rFonts w:ascii="Times New Roman" w:cs="Times New Roman" w:eastAsia="Times New Roman" w:hAnsi="Times New Roman"/>
          <w:sz w:val="14"/>
          <w:szCs w:val="14"/>
          <w:i w:val="1"/>
          <w:iCs w:val="1"/>
          <w:color w:val="auto"/>
        </w:rPr>
        <w:t>Material Agreements.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13.  Other Non-Current Assets</w:t>
            </w: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5"/>
        </w:trPr>
        <w:tc>
          <w:tcPr>
            <w:tcW w:w="260" w:type="dxa"/>
            <w:vAlign w:val="bottom"/>
          </w:tcPr>
          <w:p>
            <w:pPr>
              <w:spacing w:after="0"/>
              <w:rPr>
                <w:sz w:val="22"/>
                <w:szCs w:val="22"/>
                <w:color w:val="auto"/>
              </w:rPr>
            </w:pPr>
          </w:p>
        </w:tc>
        <w:tc>
          <w:tcPr>
            <w:tcW w:w="7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following table provides the components of other non-current assets:</w:t>
            </w:r>
          </w:p>
        </w:tc>
        <w:tc>
          <w:tcPr>
            <w:tcW w:w="10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7"/>
        </w:trPr>
        <w:tc>
          <w:tcPr>
            <w:tcW w:w="26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Borders>
              <w:bottom w:val="single" w:sz="8" w:color="auto"/>
            </w:tcBorders>
          </w:tcPr>
          <w:p>
            <w:pPr>
              <w:spacing w:after="0"/>
              <w:rPr>
                <w:sz w:val="24"/>
                <w:szCs w:val="24"/>
                <w:color w:val="auto"/>
              </w:rPr>
            </w:pPr>
          </w:p>
        </w:tc>
      </w:tr>
      <w:tr>
        <w:trPr>
          <w:trHeight w:val="171"/>
        </w:trPr>
        <w:tc>
          <w:tcPr>
            <w:tcW w:w="260" w:type="dxa"/>
            <w:vAlign w:val="bottom"/>
          </w:tcPr>
          <w:p>
            <w:pPr>
              <w:spacing w:after="0"/>
              <w:rPr>
                <w:sz w:val="14"/>
                <w:szCs w:val="14"/>
                <w:color w:val="auto"/>
              </w:rPr>
            </w:pPr>
          </w:p>
        </w:tc>
        <w:tc>
          <w:tcPr>
            <w:tcW w:w="77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260" w:type="dxa"/>
            <w:vAlign w:val="bottom"/>
          </w:tcPr>
          <w:p>
            <w:pPr>
              <w:spacing w:after="0"/>
              <w:rPr>
                <w:sz w:val="14"/>
                <w:szCs w:val="14"/>
                <w:color w:val="auto"/>
              </w:rPr>
            </w:pPr>
          </w:p>
        </w:tc>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Royalty receivable</w:t>
            </w: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r>
      <w:tr>
        <w:trPr>
          <w:trHeight w:val="180"/>
        </w:trPr>
        <w:tc>
          <w:tcPr>
            <w:tcW w:w="260" w:type="dxa"/>
            <w:vAlign w:val="bottom"/>
          </w:tcPr>
          <w:p>
            <w:pPr>
              <w:spacing w:after="0"/>
              <w:rPr>
                <w:sz w:val="15"/>
                <w:szCs w:val="15"/>
                <w:color w:val="auto"/>
              </w:rPr>
            </w:pPr>
          </w:p>
        </w:tc>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1,223</w:t>
            </w:r>
          </w:p>
        </w:tc>
      </w:tr>
      <w:tr>
        <w:trPr>
          <w:trHeight w:val="196"/>
        </w:trPr>
        <w:tc>
          <w:tcPr>
            <w:tcW w:w="260" w:type="dxa"/>
            <w:vAlign w:val="bottom"/>
          </w:tcPr>
          <w:p>
            <w:pPr>
              <w:spacing w:after="0"/>
              <w:rPr>
                <w:sz w:val="16"/>
                <w:szCs w:val="16"/>
                <w:color w:val="auto"/>
              </w:rPr>
            </w:pPr>
          </w:p>
        </w:tc>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non-current assets</w:t>
            </w:r>
          </w:p>
        </w:tc>
        <w:tc>
          <w:tcPr>
            <w:tcW w:w="104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2,642</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4,223</w:t>
            </w:r>
          </w:p>
        </w:tc>
      </w:tr>
      <w:tr>
        <w:trPr>
          <w:trHeight w:val="20"/>
        </w:trPr>
        <w:tc>
          <w:tcPr>
            <w:tcW w:w="260" w:type="dxa"/>
            <w:vAlign w:val="bottom"/>
          </w:tcPr>
          <w:p>
            <w:pPr>
              <w:spacing w:after="0" w:line="20" w:lineRule="exact"/>
              <w:rPr>
                <w:sz w:val="1"/>
                <w:szCs w:val="1"/>
                <w:color w:val="auto"/>
              </w:rPr>
            </w:pPr>
          </w:p>
        </w:tc>
        <w:tc>
          <w:tcPr>
            <w:tcW w:w="7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 xml:space="preserve">During the second quarter of 2020, under the Sunovion License Agreement, the Company recognized $8,000 of royalty revenue and corresponding royalty receivable, related to the eight $1,000 annual minimum guaranteed royalty payments that are due to the Company. In connection with the Monetization Agreement, the Company performed an assessment under ASC 860, </w:t>
      </w:r>
      <w:r>
        <w:rPr>
          <w:rFonts w:ascii="Times New Roman" w:cs="Times New Roman" w:eastAsia="Times New Roman" w:hAnsi="Times New Roman"/>
          <w:sz w:val="14"/>
          <w:szCs w:val="14"/>
          <w:i w:val="1"/>
          <w:iCs w:val="1"/>
          <w:color w:val="auto"/>
        </w:rPr>
        <w:t>Transfer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and Servicing </w:t>
      </w:r>
      <w:r>
        <w:rPr>
          <w:rFonts w:ascii="Times New Roman" w:cs="Times New Roman" w:eastAsia="Times New Roman" w:hAnsi="Times New Roman"/>
          <w:sz w:val="14"/>
          <w:szCs w:val="14"/>
          <w:color w:val="auto"/>
        </w:rPr>
        <w:t>to determine whether the existing receivable was transferred to Marathon and concluded it was not transferred. As of December 31, 2025 and 2024, Royalty receivable consists of three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and four, respectively, annual minimum payments due from Sunovion, the last of which is due in March, 2028. The current portion of the royalty receivable is included in Trade and other receivables, net. See Note 17, </w:t>
      </w:r>
      <w:r>
        <w:rPr>
          <w:rFonts w:ascii="Times New Roman" w:cs="Times New Roman" w:eastAsia="Times New Roman" w:hAnsi="Times New Roman"/>
          <w:sz w:val="14"/>
          <w:szCs w:val="14"/>
          <w:i w:val="1"/>
          <w:iCs w:val="1"/>
          <w:color w:val="auto"/>
        </w:rPr>
        <w:t>Sale of Future Revenue</w:t>
      </w:r>
      <w:r>
        <w:rPr>
          <w:rFonts w:ascii="Times New Roman" w:cs="Times New Roman" w:eastAsia="Times New Roman" w:hAnsi="Times New Roman"/>
          <w:sz w:val="14"/>
          <w:szCs w:val="14"/>
          <w:color w:val="auto"/>
        </w:rPr>
        <w:t xml:space="preserve"> for further details on how this receivable relates to the Monetization Agreement transaction.</w:t>
      </w:r>
    </w:p>
    <w:p>
      <w:pPr>
        <w:spacing w:after="0" w:line="56"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 xml:space="preserve">The non-current portion of costs to obtain contracts capitalized under ASC 340, </w:t>
      </w:r>
      <w:r>
        <w:rPr>
          <w:rFonts w:ascii="Times New Roman" w:cs="Times New Roman" w:eastAsia="Times New Roman" w:hAnsi="Times New Roman"/>
          <w:sz w:val="14"/>
          <w:szCs w:val="14"/>
          <w:i w:val="1"/>
          <w:iCs w:val="1"/>
          <w:color w:val="auto"/>
        </w:rPr>
        <w:t>Other Assets and Deferred Costs,</w:t>
      </w:r>
      <w:r>
        <w:rPr>
          <w:rFonts w:ascii="Times New Roman" w:cs="Times New Roman" w:eastAsia="Times New Roman" w:hAnsi="Times New Roman"/>
          <w:sz w:val="14"/>
          <w:szCs w:val="14"/>
          <w:color w:val="auto"/>
        </w:rPr>
        <w:t xml:space="preserve"> is recorded within Other non-current assets on the Balance Sheets as of December 31, 2025 and 2024. Commissions of $191 were expensed in Selling, general, and administrative expenses on the Statements of Operations and Comprehensive Loss for the year ended December 31, 2024 due to the termination of contracts.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86"/>
        </w:trPr>
        <w:tc>
          <w:tcPr>
            <w:tcW w:w="8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14.  Accrued Expenses</w:t>
            </w: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5"/>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Accrued expenses consisted of the following:</w:t>
            </w:r>
          </w:p>
        </w:tc>
        <w:tc>
          <w:tcPr>
            <w:tcW w:w="9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87"/>
        </w:trPr>
        <w:tc>
          <w:tcPr>
            <w:tcW w:w="83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24"/>
                <w:szCs w:val="24"/>
                <w:color w:val="auto"/>
              </w:rPr>
            </w:pPr>
          </w:p>
        </w:tc>
      </w:tr>
      <w:tr>
        <w:trPr>
          <w:trHeight w:val="171"/>
        </w:trPr>
        <w:tc>
          <w:tcPr>
            <w:tcW w:w="83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compensation</w:t>
            </w: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3,707</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4,732</w:t>
            </w:r>
          </w:p>
        </w:tc>
      </w:tr>
      <w:tr>
        <w:trPr>
          <w:trHeight w:val="18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and personal property taxes</w:t>
            </w: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r>
      <w:tr>
        <w:trPr>
          <w:trHeight w:val="18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distribution expenses and sales returns provision</w:t>
            </w: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w:t>
            </w:r>
          </w:p>
        </w:tc>
      </w:tr>
      <w:tr>
        <w:trPr>
          <w:trHeight w:val="18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payable</w:t>
            </w: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r>
      <w:tr>
        <w:trPr>
          <w:trHeight w:val="17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accrued expenses</w:t>
            </w:r>
          </w:p>
        </w:tc>
        <w:tc>
          <w:tcPr>
            <w:tcW w:w="96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5,029</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5,907</w:t>
            </w:r>
          </w:p>
        </w:tc>
      </w:tr>
      <w:tr>
        <w:trPr>
          <w:trHeight w:val="20"/>
        </w:trPr>
        <w:tc>
          <w:tcPr>
            <w:tcW w:w="8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 xml:space="preserve">The decrease in Accrued compensation is mostly related to a decrease in the current portion of accrued severance as of December 31, 2025 and timing of payroll-related payments. The increase in Accrued distribution expenses and sales return provision reflects a reclassification from Trade receivables and other receivables, net. Refer to Note 6, </w:t>
      </w:r>
      <w:r>
        <w:rPr>
          <w:rFonts w:ascii="Times New Roman" w:cs="Times New Roman" w:eastAsia="Times New Roman" w:hAnsi="Times New Roman"/>
          <w:sz w:val="14"/>
          <w:szCs w:val="14"/>
          <w:i w:val="1"/>
          <w:iCs w:val="1"/>
          <w:color w:val="auto"/>
        </w:rPr>
        <w:t>Revenues and Trade Receivables,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Net. </w:t>
      </w:r>
      <w:r>
        <w:rPr>
          <w:rFonts w:ascii="Times New Roman" w:cs="Times New Roman" w:eastAsia="Times New Roman" w:hAnsi="Times New Roman"/>
          <w:sz w:val="14"/>
          <w:szCs w:val="14"/>
          <w:color w:val="auto"/>
        </w:rPr>
        <w:t>Accrued distribution expenses and sales returns provision mostly represent estimated liabilities for returns, wholesaler service fees, co-pay support redemptions and other rebates related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proprietary product Libervant and returns and other expenses related to the proprietary product Sympazan (prior to outlicensing to Assertio in October 2022).</w:t>
      </w:r>
    </w:p>
    <w:p>
      <w:pPr>
        <w:spacing w:after="0" w:line="54"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Note 15.</w:t>
      </w:r>
      <w:r>
        <w:rPr>
          <w:sz w:val="20"/>
          <w:szCs w:val="20"/>
          <w:color w:val="auto"/>
        </w:rPr>
        <w:tab/>
      </w:r>
      <w:r>
        <w:rPr>
          <w:rFonts w:ascii="Times New Roman" w:cs="Times New Roman" w:eastAsia="Times New Roman" w:hAnsi="Times New Roman"/>
          <w:sz w:val="13"/>
          <w:szCs w:val="13"/>
          <w:b w:val="1"/>
          <w:bCs w:val="1"/>
          <w:color w:val="auto"/>
        </w:rPr>
        <w:t>Long-Term Debt</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u w:val="single" w:color="auto"/>
          <w:color w:val="auto"/>
        </w:rPr>
        <w:t>13.5% Senior Secured Notes</w:t>
      </w:r>
    </w:p>
    <w:p>
      <w:pPr>
        <w:spacing w:after="0" w:line="96" w:lineRule="exact"/>
        <w:rPr>
          <w:sz w:val="20"/>
          <w:szCs w:val="20"/>
          <w:color w:val="auto"/>
        </w:rPr>
      </w:pPr>
    </w:p>
    <w:p>
      <w:pPr>
        <w:jc w:val="both"/>
        <w:ind w:firstLine="509"/>
        <w:spacing w:after="0" w:line="280" w:lineRule="auto"/>
        <w:rPr>
          <w:sz w:val="20"/>
          <w:szCs w:val="20"/>
          <w:color w:val="auto"/>
        </w:rPr>
      </w:pPr>
      <w:r>
        <w:rPr>
          <w:rFonts w:ascii="Times New Roman" w:cs="Times New Roman" w:eastAsia="Times New Roman" w:hAnsi="Times New Roman"/>
          <w:sz w:val="14"/>
          <w:szCs w:val="14"/>
          <w:color w:val="auto"/>
        </w:rPr>
        <w:t>On November 1, 2023, the Company entered into an Indenture Agreement with certain institutional investors (the “Note Holders”) and issued $45,000 aggregate principal amount of its 13.5% Notes due 2028. The Company received net proceeds of approximately $4,326 from this transaction after the repayment of the 12.5% Notes and deduction of debt discount, and debt issuance costs.</w:t>
      </w:r>
    </w:p>
    <w:p>
      <w:pPr>
        <w:spacing w:after="0" w:line="21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13.5% Notes are senior secured obligations of the Company and mature on November 1, 2028. The 13.5% Notes bear interest at a fixed rate of 13.5% per year, payable quarterly commencing on December 30, 2023. On each payment date commencing on June 30, 2026, the Company will pay an installment of principal of the 13.5% Notes pursuant to a fixed amortization schedule, along with the applicable Exit Fee. The Exit Fee totals $2,000.</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may, at its option, redeem the 13.5% Notes in full or in part:</w:t>
      </w:r>
    </w:p>
    <w:p>
      <w:pPr>
        <w:spacing w:after="0" w:line="94" w:lineRule="exact"/>
        <w:rPr>
          <w:sz w:val="20"/>
          <w:szCs w:val="20"/>
          <w:color w:val="auto"/>
        </w:rPr>
      </w:pPr>
    </w:p>
    <w:p>
      <w:pPr>
        <w:ind w:left="520" w:hanging="260"/>
        <w:spacing w:after="0" w:line="287" w:lineRule="auto"/>
        <w:tabs>
          <w:tab w:leader="none" w:pos="51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such redemption occurs prior to November 1, 2025, at a redemption price equal to 100% of the principal amount plus accrued and unpaid interest, plus the applicable Exit Fee, plus an Applicable Premium which is the greater of</w:t>
      </w:r>
    </w:p>
    <w:p>
      <w:pPr>
        <w:spacing w:after="0" w:line="39" w:lineRule="exact"/>
        <w:rPr>
          <w:rFonts w:ascii="Times New Roman" w:cs="Times New Roman" w:eastAsia="Times New Roman" w:hAnsi="Times New Roman"/>
          <w:sz w:val="14"/>
          <w:szCs w:val="14"/>
          <w:color w:val="auto"/>
        </w:rPr>
      </w:pPr>
    </w:p>
    <w:p>
      <w:pPr>
        <w:ind w:left="1020" w:hanging="326"/>
        <w:spacing w:after="0"/>
        <w:tabs>
          <w:tab w:leader="none" w:pos="102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 of the principal redeemed; and</w:t>
      </w:r>
    </w:p>
    <w:p>
      <w:pPr>
        <w:spacing w:after="0" w:line="93" w:lineRule="exact"/>
        <w:rPr>
          <w:rFonts w:ascii="Times New Roman" w:cs="Times New Roman" w:eastAsia="Times New Roman" w:hAnsi="Times New Roman"/>
          <w:sz w:val="14"/>
          <w:szCs w:val="14"/>
          <w:color w:val="auto"/>
        </w:rPr>
      </w:pPr>
    </w:p>
    <w:p>
      <w:pPr>
        <w:ind w:left="1020" w:hanging="365"/>
        <w:spacing w:after="0" w:line="287" w:lineRule="auto"/>
        <w:tabs>
          <w:tab w:leader="none" w:pos="102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if any, by which the present value of the principal to be redeemed on November 1, 2025, plus all required interest due on such date, computed using a discount rate equal to the Treasury Rate, plus 100 basis points, exceeds the amount of principal to be redeemed; and</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such redemption occurs after November 1, 2025, the redemption price is equal to 108.50% of the principal amount plus accrued and unpaid interest, plus the applicable Exit Fee.</w:t>
      </w:r>
    </w:p>
    <w:p>
      <w:pPr>
        <w:spacing w:after="0" w:line="9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If the Company undergoes a change of control, the Note Holders may require the Company to repurchase for cash all or any portion of the 13.5% Notes at a change of control repurchase price equal at 108.5% plus the Exit Fee of the remaining principal, plus accrued interest at the election of the Note Holders.</w:t>
      </w:r>
    </w:p>
    <w:p>
      <w:pPr>
        <w:spacing w:after="0" w:line="3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Indenture Agreement permits the Company, upon the continuing satisfaction of certain conditions, including that the Company has at least $100,000 of net revenues for the most recently completed twelve calendar month period, to enter into an ABL facility not to exceed $10,000. The ABL Facility may be collateralized only by assets of the Company constituting inventory, accounts receivable, and the proceeds thereof.</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connection with the issuance of 13.5% Notes, the Company and the Note Holders entered into the Royalty Right Agreements dated as of November 1, 2023, which provides Note Holders:</w:t>
      </w:r>
    </w:p>
    <w:p>
      <w:pPr>
        <w:spacing w:after="0" w:line="94" w:lineRule="exact"/>
        <w:rPr>
          <w:sz w:val="20"/>
          <w:szCs w:val="20"/>
          <w:color w:val="auto"/>
        </w:rPr>
      </w:pPr>
    </w:p>
    <w:p>
      <w:pPr>
        <w:ind w:left="520" w:hanging="260"/>
        <w:spacing w:after="0" w:line="287" w:lineRule="auto"/>
        <w:tabs>
          <w:tab w:leader="none" w:pos="512"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tiered royalty between 1.0% and 2.0% of annual worldwide net sales of Anaphylm (epinephrine) Sublingual Film for a period of eight years from the first sale of Anaphylm on a global basis, and</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tiered royalty between 1.0% to 2.0% of annual worldwide net sales of Libervant (diazepam) Buccal Film until the earlier of (1) the first sale of Anaphylm and (2) eight years from the first sale of Libervant.</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12" w:name="page113"/>
    <w:bookmarkEnd w:id="112"/>
    <w:p>
      <w:pPr>
        <w:jc w:val="both"/>
        <w:ind w:right="20" w:firstLine="509"/>
        <w:spacing w:after="0" w:line="287" w:lineRule="auto"/>
        <w:rPr>
          <w:sz w:val="20"/>
          <w:szCs w:val="20"/>
          <w:color w:val="auto"/>
        </w:rPr>
      </w:pPr>
      <w:r>
        <w:rPr>
          <w:rFonts w:ascii="Times New Roman" w:cs="Times New Roman" w:eastAsia="Times New Roman" w:hAnsi="Times New Roman"/>
          <w:sz w:val="14"/>
          <w:szCs w:val="14"/>
          <w:color w:val="auto"/>
        </w:rPr>
        <w:t xml:space="preserve">Both the 13.5% Notes and Royalty Right Agreements represent freestanding instruments which were issued in conjunction with each other. They are classified as debt within the scope of ASC 470,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xml:space="preserve"> and are subsequently measured on an amortized cost basis.</w:t>
      </w:r>
    </w:p>
    <w:p>
      <w:pPr>
        <w:spacing w:after="0" w:line="39" w:lineRule="exact"/>
        <w:rPr>
          <w:sz w:val="20"/>
          <w:szCs w:val="20"/>
          <w:color w:val="auto"/>
        </w:rPr>
      </w:pPr>
    </w:p>
    <w:p>
      <w:pPr>
        <w:jc w:val="both"/>
        <w:ind w:right="20" w:firstLine="509"/>
        <w:spacing w:after="0" w:line="270" w:lineRule="auto"/>
        <w:rPr>
          <w:sz w:val="20"/>
          <w:szCs w:val="20"/>
          <w:color w:val="auto"/>
        </w:rPr>
      </w:pPr>
      <w:r>
        <w:rPr>
          <w:rFonts w:ascii="Times New Roman" w:cs="Times New Roman" w:eastAsia="Times New Roman" w:hAnsi="Times New Roman"/>
          <w:sz w:val="14"/>
          <w:szCs w:val="14"/>
          <w:color w:val="auto"/>
        </w:rPr>
        <w:t>The initial fair value measurement of the Royalty Right Agreements was determined based on significant unobservable inputs, including the discount rate, estimated probabilities of success, and the estimated amount of future sales of Anaphylm and Libervant. These inputs are derived using internal management estimates developed based on third-party data and reflect management’s judgments, current market conditions, and forecasts.</w:t>
      </w:r>
    </w:p>
    <w:p>
      <w:pPr>
        <w:spacing w:after="0" w:line="51" w:lineRule="exact"/>
        <w:rPr>
          <w:sz w:val="20"/>
          <w:szCs w:val="20"/>
          <w:color w:val="auto"/>
        </w:rPr>
      </w:pPr>
    </w:p>
    <w:p>
      <w:pPr>
        <w:jc w:val="both"/>
        <w:ind w:right="20" w:firstLine="509"/>
        <w:spacing w:after="0" w:line="270" w:lineRule="auto"/>
        <w:rPr>
          <w:sz w:val="20"/>
          <w:szCs w:val="20"/>
          <w:color w:val="auto"/>
        </w:rPr>
      </w:pPr>
      <w:r>
        <w:rPr>
          <w:rFonts w:ascii="Times New Roman" w:cs="Times New Roman" w:eastAsia="Times New Roman" w:hAnsi="Times New Roman"/>
          <w:sz w:val="14"/>
          <w:szCs w:val="14"/>
          <w:color w:val="auto"/>
        </w:rPr>
        <w:t>The Royalty Right Agreements fair value is estimated by applying probability-weighted cash flows for future sales, which are then discounted to present value. Changes to the fair value of the Royalty Rights Agreements can result from changes to one or a number of the aforementioned inputs. A significant change in unobservable inputs could result in a material increase or decrease to the effective interest rate of the Royalty Right Agreements liability.</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the significant unobservable inputs used in the fair value measurement of the Royalty Right Agreements:</w:t>
      </w:r>
    </w:p>
    <w:p>
      <w:pPr>
        <w:spacing w:after="0" w:line="110"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3100" w:type="dxa"/>
            <w:vAlign w:val="bottom"/>
            <w:tcBorders>
              <w:top w:val="single" w:sz="8" w:color="auto"/>
              <w:left w:val="single" w:sz="8" w:color="auto"/>
            </w:tcBorders>
          </w:tcPr>
          <w:p>
            <w:pPr>
              <w:spacing w:after="0"/>
              <w:rPr>
                <w:sz w:val="16"/>
                <w:szCs w:val="16"/>
                <w:color w:val="auto"/>
              </w:rPr>
            </w:pPr>
          </w:p>
        </w:tc>
        <w:tc>
          <w:tcPr>
            <w:tcW w:w="2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Methodology</w:t>
            </w: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2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Unobservable Input</w:t>
            </w:r>
          </w:p>
        </w:tc>
        <w:tc>
          <w:tcPr>
            <w:tcW w:w="100" w:type="dxa"/>
            <w:vAlign w:val="bottom"/>
            <w:tcBorders>
              <w:top w:val="single" w:sz="8" w:color="auto"/>
              <w:bottom w:val="single" w:sz="8" w:color="CCEEFF"/>
            </w:tcBorders>
          </w:tcPr>
          <w:p>
            <w:pPr>
              <w:spacing w:after="0"/>
              <w:rPr>
                <w:sz w:val="16"/>
                <w:szCs w:val="16"/>
                <w:color w:val="auto"/>
              </w:rPr>
            </w:pPr>
          </w:p>
        </w:tc>
        <w:tc>
          <w:tcPr>
            <w:tcW w:w="2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 (range, if applicable)</w:t>
            </w:r>
          </w:p>
        </w:tc>
        <w:tc>
          <w:tcPr>
            <w:tcW w:w="0" w:type="dxa"/>
            <w:vAlign w:val="bottom"/>
          </w:tcPr>
          <w:p>
            <w:pPr>
              <w:spacing w:after="0"/>
              <w:rPr>
                <w:sz w:val="1"/>
                <w:szCs w:val="1"/>
                <w:color w:val="auto"/>
              </w:rPr>
            </w:pPr>
          </w:p>
        </w:tc>
      </w:tr>
      <w:tr>
        <w:trPr>
          <w:trHeight w:val="171"/>
        </w:trPr>
        <w:tc>
          <w:tcPr>
            <w:tcW w:w="3100" w:type="dxa"/>
            <w:vAlign w:val="bottom"/>
            <w:tcBorders>
              <w:left w:val="single" w:sz="8" w:color="auto"/>
            </w:tcBorders>
          </w:tcPr>
          <w:p>
            <w:pPr>
              <w:spacing w:after="0"/>
              <w:rPr>
                <w:sz w:val="14"/>
                <w:szCs w:val="14"/>
                <w:color w:val="auto"/>
              </w:rPr>
            </w:pPr>
          </w:p>
        </w:tc>
        <w:tc>
          <w:tcPr>
            <w:tcW w:w="2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Probability weighted</w:t>
            </w:r>
          </w:p>
        </w:tc>
        <w:tc>
          <w:tcPr>
            <w:tcW w:w="80" w:type="dxa"/>
            <w:vAlign w:val="bottom"/>
            <w:shd w:val="clear" w:color="auto" w:fill="CCEEFF"/>
          </w:tcPr>
          <w:p>
            <w:pPr>
              <w:spacing w:after="0"/>
              <w:rPr>
                <w:sz w:val="14"/>
                <w:szCs w:val="14"/>
                <w:color w:val="auto"/>
              </w:rPr>
            </w:pP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Discount Rate</w:t>
            </w:r>
          </w:p>
        </w:tc>
        <w:tc>
          <w:tcPr>
            <w:tcW w:w="100" w:type="dxa"/>
            <w:vAlign w:val="bottom"/>
            <w:shd w:val="clear" w:color="auto" w:fill="CCEEFF"/>
          </w:tcPr>
          <w:p>
            <w:pPr>
              <w:spacing w:after="0"/>
              <w:rPr>
                <w:sz w:val="14"/>
                <w:szCs w:val="14"/>
                <w:color w:val="auto"/>
              </w:rPr>
            </w:pPr>
          </w:p>
        </w:tc>
        <w:tc>
          <w:tcPr>
            <w:tcW w:w="24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38"/>
        </w:trPr>
        <w:tc>
          <w:tcPr>
            <w:tcW w:w="3100" w:type="dxa"/>
            <w:vAlign w:val="bottom"/>
            <w:tcBorders>
              <w:left w:val="single" w:sz="8" w:color="auto"/>
            </w:tcBorders>
            <w:vMerge w:val="restart"/>
          </w:tcPr>
          <w:p>
            <w:pPr>
              <w:ind w:left="800"/>
              <w:spacing w:after="0"/>
              <w:rPr>
                <w:sz w:val="20"/>
                <w:szCs w:val="20"/>
                <w:color w:val="auto"/>
              </w:rPr>
            </w:pPr>
            <w:r>
              <w:rPr>
                <w:rFonts w:ascii="Times New Roman" w:cs="Times New Roman" w:eastAsia="Times New Roman" w:hAnsi="Times New Roman"/>
                <w:sz w:val="14"/>
                <w:szCs w:val="14"/>
                <w:color w:val="auto"/>
              </w:rPr>
              <w:t>Royalty Right Agreements</w:t>
            </w:r>
          </w:p>
        </w:tc>
        <w:tc>
          <w:tcPr>
            <w:tcW w:w="29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Probability of Success</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16"/>
        </w:trPr>
        <w:tc>
          <w:tcPr>
            <w:tcW w:w="3100" w:type="dxa"/>
            <w:vAlign w:val="bottom"/>
            <w:tcBorders>
              <w:left w:val="single" w:sz="8" w:color="auto"/>
            </w:tcBorders>
            <w:vMerge w:val="continue"/>
          </w:tcPr>
          <w:p>
            <w:pPr>
              <w:spacing w:after="0"/>
              <w:rPr>
                <w:sz w:val="10"/>
                <w:szCs w:val="10"/>
                <w:color w:val="auto"/>
              </w:rPr>
            </w:pPr>
          </w:p>
        </w:tc>
        <w:tc>
          <w:tcPr>
            <w:tcW w:w="2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9"/>
              </w:rPr>
              <w:t>income approach</w:t>
            </w:r>
          </w:p>
        </w:tc>
        <w:tc>
          <w:tcPr>
            <w:tcW w:w="80" w:type="dxa"/>
            <w:vAlign w:val="bottom"/>
          </w:tcPr>
          <w:p>
            <w:pPr>
              <w:spacing w:after="0"/>
              <w:rPr>
                <w:sz w:val="10"/>
                <w:szCs w:val="10"/>
                <w:color w:val="auto"/>
              </w:rPr>
            </w:pPr>
          </w:p>
        </w:tc>
        <w:tc>
          <w:tcPr>
            <w:tcW w:w="2720" w:type="dxa"/>
            <w:vAlign w:val="bottom"/>
            <w:gridSpan w:val="2"/>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3100" w:type="dxa"/>
            <w:vAlign w:val="bottom"/>
            <w:tcBorders>
              <w:left w:val="single" w:sz="8" w:color="auto"/>
            </w:tcBorders>
          </w:tcPr>
          <w:p>
            <w:pPr>
              <w:spacing w:after="0"/>
              <w:rPr>
                <w:sz w:val="6"/>
                <w:szCs w:val="6"/>
                <w:color w:val="auto"/>
              </w:rPr>
            </w:pPr>
          </w:p>
        </w:tc>
        <w:tc>
          <w:tcPr>
            <w:tcW w:w="29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100" w:type="dxa"/>
            <w:vAlign w:val="bottom"/>
            <w:tcBorders>
              <w:left w:val="single" w:sz="8" w:color="auto"/>
              <w:bottom w:val="single" w:sz="8" w:color="auto"/>
            </w:tcBorders>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720" w:type="dxa"/>
            <w:vAlign w:val="bottom"/>
            <w:tcBorders>
              <w:bottom w:val="single" w:sz="8" w:color="auto"/>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Projected Years of Payments</w:t>
            </w:r>
          </w:p>
        </w:tc>
        <w:tc>
          <w:tcPr>
            <w:tcW w:w="2460" w:type="dxa"/>
            <w:vAlign w:val="bottom"/>
            <w:tcBorders>
              <w:bottom w:val="single" w:sz="8" w:color="auto"/>
              <w:right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2025  -  2035</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right="20" w:firstLine="509"/>
        <w:spacing w:after="0" w:line="264" w:lineRule="auto"/>
        <w:rPr>
          <w:sz w:val="20"/>
          <w:szCs w:val="20"/>
          <w:color w:val="auto"/>
        </w:rPr>
      </w:pPr>
      <w:r>
        <w:rPr>
          <w:rFonts w:ascii="Times New Roman" w:cs="Times New Roman" w:eastAsia="Times New Roman" w:hAnsi="Times New Roman"/>
          <w:sz w:val="14"/>
          <w:szCs w:val="14"/>
          <w:color w:val="auto"/>
        </w:rPr>
        <w:t>During the year ended December 31, 2025, the Company updated the probability-weighted cash flows for future sales, which decreased the royalty obligation to $51,886 and decreased the unamortized discount to $25,945. The effective interest rate changed by 2.64%, and the Company updated the projected years of payments to 2035. During the year ended December 31, 2024, there were no material changes to the probability-weighted cash flows for future sales used to recognize the Royalty Right Agreements liability. The Company had used 75% probability of success factor and updated the projected years of payments to 2034 and the effective interest rate by 0.56%.</w:t>
      </w:r>
    </w:p>
    <w:p>
      <w:pPr>
        <w:spacing w:after="0" w:line="56" w:lineRule="exact"/>
        <w:rPr>
          <w:sz w:val="20"/>
          <w:szCs w:val="20"/>
          <w:color w:val="auto"/>
        </w:rPr>
      </w:pPr>
    </w:p>
    <w:p>
      <w:pPr>
        <w:jc w:val="both"/>
        <w:ind w:right="20" w:firstLine="509"/>
        <w:spacing w:after="0" w:line="270" w:lineRule="auto"/>
        <w:rPr>
          <w:sz w:val="20"/>
          <w:szCs w:val="20"/>
          <w:color w:val="auto"/>
        </w:rPr>
      </w:pPr>
      <w:r>
        <w:rPr>
          <w:rFonts w:ascii="Times New Roman" w:cs="Times New Roman" w:eastAsia="Times New Roman" w:hAnsi="Times New Roman"/>
          <w:sz w:val="14"/>
          <w:szCs w:val="14"/>
          <w:color w:val="auto"/>
        </w:rPr>
        <w:t>Since the Royalty Right Agreements were issued in connection with the 13.5% Notes, the Company allocated the proceeds to the two instruments based on their relative fair values. The Company allocated approximately $13,856 to the Royalty Right Agreements. The Company determined the allocated fair value by calculating the present value of estimated future royalties to be paid to Note Holders over the life of the arrangement.</w:t>
      </w:r>
    </w:p>
    <w:p>
      <w:pPr>
        <w:spacing w:after="0" w:line="51" w:lineRule="exact"/>
        <w:rPr>
          <w:sz w:val="20"/>
          <w:szCs w:val="20"/>
          <w:color w:val="auto"/>
        </w:rPr>
      </w:pPr>
    </w:p>
    <w:p>
      <w:pPr>
        <w:jc w:val="both"/>
        <w:ind w:right="20" w:firstLine="509"/>
        <w:spacing w:after="0" w:line="287" w:lineRule="auto"/>
        <w:rPr>
          <w:sz w:val="20"/>
          <w:szCs w:val="20"/>
          <w:color w:val="auto"/>
        </w:rPr>
      </w:pPr>
      <w:r>
        <w:rPr>
          <w:rFonts w:ascii="Times New Roman" w:cs="Times New Roman" w:eastAsia="Times New Roman" w:hAnsi="Times New Roman"/>
          <w:sz w:val="14"/>
          <w:szCs w:val="14"/>
          <w:color w:val="auto"/>
        </w:rPr>
        <w:t>The excess of future estimated royalty payments over the allocated fair value is recognized as a discount related to the Royalty Right Agreements and is amortized as interest expense using the effective interest method.</w:t>
      </w:r>
    </w:p>
    <w:p>
      <w:pPr>
        <w:spacing w:after="0" w:line="39" w:lineRule="exact"/>
        <w:rPr>
          <w:sz w:val="20"/>
          <w:szCs w:val="20"/>
          <w:color w:val="auto"/>
        </w:rPr>
      </w:pPr>
    </w:p>
    <w:p>
      <w:pPr>
        <w:jc w:val="both"/>
        <w:ind w:right="20" w:firstLine="509"/>
        <w:spacing w:after="0" w:line="287" w:lineRule="auto"/>
        <w:rPr>
          <w:sz w:val="20"/>
          <w:szCs w:val="20"/>
          <w:color w:val="auto"/>
        </w:rPr>
      </w:pPr>
      <w:r>
        <w:rPr>
          <w:rFonts w:ascii="Times New Roman" w:cs="Times New Roman" w:eastAsia="Times New Roman" w:hAnsi="Times New Roman"/>
          <w:sz w:val="14"/>
          <w:szCs w:val="14"/>
          <w:color w:val="auto"/>
        </w:rPr>
        <w:t>The allocated amounts of $13,856 when combined with the Exit Fee of $2,000, original issue discount of $1,125 and debt issuance costs of $3,517, resulted in debt discount of $20,498. The debt discount is being amortized over the term of 13.5% Notes using the effective interest method.</w:t>
      </w:r>
    </w:p>
    <w:p>
      <w:pPr>
        <w:spacing w:after="0" w:line="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Amortization expense arising from the discounts related to the 13.5% Notes and Royalty Right Agreements for the year ended December 31, 2025 was $5,016 and $5,736, respectively.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Amortization expense arising from the discounts related to the 13.5% Notes and Royalty Right Agreements for the year ended December 31, 2024 was $5,019 and $5,459, respectively.</w:t>
      </w:r>
    </w:p>
    <w:p>
      <w:pPr>
        <w:spacing w:after="0" w:line="79" w:lineRule="exact"/>
        <w:rPr>
          <w:sz w:val="20"/>
          <w:szCs w:val="20"/>
          <w:color w:val="auto"/>
        </w:rPr>
      </w:pPr>
    </w:p>
    <w:p>
      <w:pPr>
        <w:jc w:val="both"/>
        <w:ind w:right="20" w:firstLine="509"/>
        <w:spacing w:after="0" w:line="287" w:lineRule="auto"/>
        <w:rPr>
          <w:sz w:val="20"/>
          <w:szCs w:val="20"/>
          <w:color w:val="auto"/>
        </w:rPr>
      </w:pPr>
      <w:r>
        <w:rPr>
          <w:rFonts w:ascii="Times New Roman" w:cs="Times New Roman" w:eastAsia="Times New Roman" w:hAnsi="Times New Roman"/>
          <w:sz w:val="14"/>
          <w:szCs w:val="14"/>
          <w:color w:val="auto"/>
        </w:rPr>
        <w:t>Unamortized discounts totaled $7,630 for the 13.5% Notes and $25,945 for royalty obligations as of December 31, 2025. Unamortized discounts totaled $12,646 for the 13.5% Notes and $36,706 for royalty obligations as of December 31, 2024.</w:t>
      </w: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729" w:right="29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84"/>
        </w:trPr>
        <w:tc>
          <w:tcPr>
            <w:tcW w:w="83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Long-term notes and unamortized debt discount balances are as follows:</w:t>
            </w: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87"/>
        </w:trPr>
        <w:tc>
          <w:tcPr>
            <w:tcW w:w="8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24"/>
                <w:szCs w:val="24"/>
                <w:color w:val="auto"/>
              </w:rPr>
            </w:pPr>
          </w:p>
        </w:tc>
      </w:tr>
      <w:tr>
        <w:trPr>
          <w:trHeight w:val="171"/>
        </w:trPr>
        <w:tc>
          <w:tcPr>
            <w:tcW w:w="83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outstanding notes</w:t>
            </w: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w:t>
            </w:r>
          </w:p>
        </w:tc>
      </w:tr>
      <w:tr>
        <w:trPr>
          <w:trHeight w:val="18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Unamortized discount, including Exit Fee</w:t>
            </w:r>
          </w:p>
        </w:tc>
        <w:tc>
          <w:tcPr>
            <w:tcW w:w="9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(12,646)</w:t>
            </w:r>
          </w:p>
        </w:tc>
      </w:tr>
      <w:tr>
        <w:trPr>
          <w:trHeight w:val="18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payable, current</w:t>
            </w:r>
          </w:p>
        </w:tc>
        <w:tc>
          <w:tcPr>
            <w:tcW w:w="9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(9,964)</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Notes payable, long-term</w:t>
            </w:r>
          </w:p>
        </w:tc>
        <w:tc>
          <w:tcPr>
            <w:tcW w:w="9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27,406</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32,354</w:t>
            </w:r>
          </w:p>
        </w:tc>
      </w:tr>
      <w:tr>
        <w:trPr>
          <w:trHeight w:val="171"/>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long-term</w:t>
            </w:r>
          </w:p>
        </w:tc>
        <w:tc>
          <w:tcPr>
            <w:tcW w:w="9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r>
      <w:tr>
        <w:trPr>
          <w:trHeight w:val="17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payable, net</w:t>
            </w:r>
          </w:p>
        </w:tc>
        <w:tc>
          <w:tcPr>
            <w:tcW w:w="92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27,519</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32,500</w:t>
            </w:r>
          </w:p>
        </w:tc>
      </w:tr>
      <w:tr>
        <w:trPr>
          <w:trHeight w:val="20"/>
        </w:trPr>
        <w:tc>
          <w:tcPr>
            <w:tcW w:w="8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8340" w:type="dxa"/>
            <w:vAlign w:val="bottom"/>
            <w:tcBorders>
              <w:bottom w:val="single" w:sz="8" w:color="BFE4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3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Royalty obligations</w:t>
            </w: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51,886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56,922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Unamortized discount</w:t>
            </w:r>
          </w:p>
        </w:tc>
        <w:tc>
          <w:tcPr>
            <w:tcW w:w="88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(25,945)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(36,706)</w:t>
            </w:r>
          </w:p>
        </w:tc>
        <w:tc>
          <w:tcPr>
            <w:tcW w:w="0" w:type="dxa"/>
            <w:vAlign w:val="bottom"/>
          </w:tcPr>
          <w:p>
            <w:pPr>
              <w:spacing w:after="0"/>
              <w:rPr>
                <w:sz w:val="1"/>
                <w:szCs w:val="1"/>
                <w:color w:val="auto"/>
              </w:rPr>
            </w:pPr>
          </w:p>
        </w:tc>
      </w:tr>
      <w:tr>
        <w:trPr>
          <w:trHeight w:val="18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portion of royalty obligation</w:t>
            </w:r>
          </w:p>
        </w:tc>
        <w:tc>
          <w:tcPr>
            <w:tcW w:w="88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71"/>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Royalty obligations, net</w:t>
            </w:r>
          </w:p>
        </w:tc>
        <w:tc>
          <w:tcPr>
            <w:tcW w:w="880" w:type="dxa"/>
            <w:vAlign w:val="bottom"/>
            <w:tcBorders>
              <w:top w:val="single" w:sz="8" w:color="auto"/>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25,941</w:t>
            </w: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20,129</w:t>
            </w:r>
          </w:p>
        </w:tc>
        <w:tc>
          <w:tcPr>
            <w:tcW w:w="4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34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Scheduled principal payments net of exit fee on the 13.5% Notes as of December 31, 2025 are as follows:</w:t>
            </w: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83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8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14,535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Note 16.</w:t>
      </w:r>
      <w:r>
        <w:rPr>
          <w:sz w:val="20"/>
          <w:szCs w:val="20"/>
          <w:color w:val="auto"/>
        </w:rPr>
        <w:tab/>
      </w:r>
      <w:r>
        <w:rPr>
          <w:rFonts w:ascii="Times New Roman" w:cs="Times New Roman" w:eastAsia="Times New Roman" w:hAnsi="Times New Roman"/>
          <w:sz w:val="13"/>
          <w:szCs w:val="13"/>
          <w:b w:val="1"/>
          <w:bCs w:val="1"/>
          <w:color w:val="auto"/>
        </w:rPr>
        <w:t>Warrants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Warrants Issued to 12.5% Senior Secured Noteholders</w:t>
      </w:r>
    </w:p>
    <w:p>
      <w:pPr>
        <w:spacing w:after="0" w:line="96"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Warrants that were issued in conjunction with the Initial Notes (the “Initial Warrants”) and Additional Notes (the “Additional Warrants”) entitled the noteholders to purchase up to 2,143,000 shares of Common Stock and included specified registration rights. Management estimated the fair value of the Initial Warrants to be $6,800 and the Additional Warrants to be $735, each based on an assessment by an independent third-party appraiser. The fair value of the respective warrants was treated as a debt discount, amortizable over the term of the respective warrants, with the unamortized 12.5% Notes portion applied to reduce the aggregate principal amount of the 12.5% Notes. Additionally, since the Initial Warrants and Additional Warrants issued do not provide warrant redemption or put rights within the control of the holders that could require the Company to make a payment of cash or other assets to satisfy the obligations under the warrants, except in the case of a “cash change in control”, the fair value attributed to the warrants is presented in Additional Paid-in Capital in the Company’s Balance Sheets. There were no warrants exercised as it relates to the Initial Warrants and the Additional Warrants during the years ended December 31, 2025. During the year ended December 31, 2024, 30,645 of the Additional Warrants were exercised with the Company receiving proceeds of $165.</w:t>
      </w:r>
    </w:p>
    <w:p>
      <w:pPr>
        <w:spacing w:after="0" w:line="6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 xml:space="preserve">Warrants to purchase a total of 1,683,784 shares of Common Stock with exercise prices of $4.25 and $5.38 for 1,571,429 warrants and 112,355 warrants, respectively, remained outstanding as of December 31, 2024. See Note 15, </w:t>
      </w:r>
      <w:r>
        <w:rPr>
          <w:rFonts w:ascii="Times New Roman" w:cs="Times New Roman" w:eastAsia="Times New Roman" w:hAnsi="Times New Roman"/>
          <w:sz w:val="14"/>
          <w:szCs w:val="14"/>
          <w:i w:val="1"/>
          <w:iCs w:val="1"/>
          <w:color w:val="auto"/>
        </w:rPr>
        <w:t>Long-Term Debt.</w:t>
      </w:r>
    </w:p>
    <w:p>
      <w:pPr>
        <w:spacing w:after="0" w:line="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Initial Warrants and Additional Warrants expired on June 30, 2025.</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Warrants Issued Under Securities Purchase Agreements</w:t>
      </w:r>
    </w:p>
    <w:p>
      <w:pPr>
        <w:spacing w:after="0" w:line="9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In June 2022, the Company issued pre-funded warrants and Common Stock Warrants to certain purchasers in connection with the Securities Purchase Agreements. The pre-funded warrants entitled purchasers to purchase up to 4,000,000 shares of Common Stock and were exercised in full during the year ended as of December 31, 2022. The Common Stock Warrants expire on June 8, 2027 and entitle the purchasers to purchase up to 8,850,000 shares of Common Stock at an exercise price of $0.96 per share. Management estimated the fair value of the pre-funded warrants and Common Stock warrants to be $5,874 based on an assessment by an independent third-party appraiser. The fair value of the pre-funded and Common Stock warrants is treated as equity and is presented in Additional Paid-in Capital in the Company’s Balance Sheets. On June 14, 2023, 3,689,452 Common Stock warrants issued pursuant to the Securities Purchase Agreements were exercised with proceeds of approximately $3,542.</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14" w:name="page115"/>
    <w:bookmarkEnd w:id="114"/>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On August 1, 2023, the Company entered into the Letter Agreement with the Exercising Holder of 5,000,000 of the remaining Common Stock Warrants. Pursuant to the Letter Agreement, the Exercising Holder and the Company agreed that the Exercising Holder would exercise all of its Existing Warrants for shares of Common Stock underlying the Existing Warrants at $0.96 per share of Common Stock, the current exercise price of the Existing Warrants. Under the Letter Agreement, in consideration of the Exercising Holder exercising the Existing Warrants, the Company issued to the Exercising Holder New Warrants to purchase up to an aggregate of 2,750,000 shares of Common Stock. The New Warrants are exercisable after February 2, 2024, expire on February 2, 2029 and are issuable only for cash, subject to exception if the shares of Common Stock underlying the New Warrants are not registered in accordance with the terms of the Letter Agreement, in which case the New Warrants may also be exercised, in whole or in part, at such time by means of a "cashless exercise". The New Warrants have an exercise price of $2.60 per share. Management estimated the fair value of the warrants to be $4,671 based on an assessment by an independent third-party appraiser. The fair value of the New warrants is treated as equity and is presented in Additional Paid-in Capital in the Company’s Balance Sheets.</w:t>
      </w:r>
    </w:p>
    <w:p>
      <w:pPr>
        <w:spacing w:after="0" w:line="64" w:lineRule="exact"/>
        <w:rPr>
          <w:sz w:val="20"/>
          <w:szCs w:val="20"/>
          <w:color w:val="auto"/>
        </w:rPr>
      </w:pPr>
    </w:p>
    <w:p>
      <w:pPr>
        <w:jc w:val="both"/>
        <w:ind w:firstLine="509"/>
        <w:spacing w:after="0" w:line="280" w:lineRule="auto"/>
        <w:rPr>
          <w:sz w:val="20"/>
          <w:szCs w:val="20"/>
          <w:color w:val="auto"/>
        </w:rPr>
      </w:pPr>
      <w:r>
        <w:rPr>
          <w:rFonts w:ascii="Times New Roman" w:cs="Times New Roman" w:eastAsia="Times New Roman" w:hAnsi="Times New Roman"/>
          <w:sz w:val="14"/>
          <w:szCs w:val="14"/>
          <w:color w:val="auto"/>
        </w:rPr>
        <w:t>During the year ended December 31, 2025, 550,000 shares were issued upon the exercise of warrants, with the Company receiving proceeds of $1,430 as it relates to the Warrants issued under Securities Purchase Agreements. There were no warrants issued or exercised as it relates to the Warrants issued under Securities Purchase Agreements during the year ended December 31, 2024.</w:t>
      </w:r>
    </w:p>
    <w:p>
      <w:pPr>
        <w:spacing w:after="0" w:line="21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As of December 31, 2025, in addition to the remaining warrants to purchase 2,200,000 shares of Common Stock with an exercise price of $2.60 per share described above, there remained outstanding warrants to purchase 160,548 shares of Common Stock at an exercise price of $0.96.</w:t>
      </w:r>
    </w:p>
    <w:p>
      <w:pPr>
        <w:spacing w:after="0" w:line="3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Note 17.</w:t>
        <w:tab/>
        <w:t>Sale of Future Revenue</w:t>
      </w:r>
    </w:p>
    <w:p>
      <w:pPr>
        <w:spacing w:after="0" w:line="9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On November 3, 2020, the Company entered into the Monetization Agreement with Marathon. Under the terms of the Monetization Agreement, the Company sold all of its contractual rights to receive royalties and milestone payments due under the Sunovion License Agreement related to Sunovion’s apomorphine product, KYNMOBI, an apomorphine film therapy for the treatment of off episodes in Parkinson’s disease patients, which received approval from the FDA on May 21, 2020. In exchange for the sale of these rights, the Company received an upfront payment of $40,000 and an additional payment of $10,000 through the achievement of the first milestone. The Company has received an aggregate amount of $50,000 through December 31, 2025 under the Monetization Agreement.</w:t>
      </w:r>
    </w:p>
    <w:p>
      <w:pPr>
        <w:spacing w:after="0" w:line="58"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Under the Monetization Agreement, additional contingent payments of up to $75,000 may be due to the Company upon the achievement of worldwide royalty and other commercial targets within a specified timeframe, which could result in total potential proceeds of $125,000.</w:t>
      </w:r>
    </w:p>
    <w:p>
      <w:pPr>
        <w:spacing w:after="0" w:line="5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The Company recorded the upfront proceeds of $40,000 and subsequent first milestone of $10,000, reduced by $2,909 of transaction costs, as a liability related to the sale of future revenue that will be amortized using the effective interest method over the life of the Monetization Agreement. As future contingent payments are received, they will increase the balance of the liability related to the sale of future revenue. Although the Company sold all of its rights to receive royalties and milestones, as a result of ongoing obligations related to the generation of these royalties, the Company will account for these royalties as revenue. Its ongoing obligations include the maintenance and defense of the intellectual property and to provide assistance to Marathon in executing a new license agreement for KYNMOBI in the event Sunovion terminates the Sunovion License Agreement in one or more jurisdictions of the licensed territory under the Sunovion License Agreement. The accounting liabilities, as adjusted over time, resulting from this transaction and any non-cash interest expenses associated with those liabilities do not and will not represent any obligation to pay or any potential future use of cash.</w:t>
      </w:r>
    </w:p>
    <w:p>
      <w:pPr>
        <w:spacing w:after="0" w:line="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During the second quarter of 2020, under the Sunovion License Agreement, the Company recognized $8,000 of royalty revenue and corresponding royalty receivable, related to the $1,000 annual minimum guaranteed royalty that is due. In connection with the Monetization Agreement, the Company performed an assessment under ASC 860, Transfer and Servicing to determine whether the existing receivable was transferred to Marathon and concluded that the receivable was not transferred.</w:t>
      </w:r>
    </w:p>
    <w:p>
      <w:pPr>
        <w:spacing w:after="0" w:line="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As royalties are remitted to Marathon from Sunovion, the collection of the royalty receivable and balance of the liability related to the sale of future revenue will be effectively repaid over the life of the agreement. In order to determine the amortization of the liability related to the sale of future revenue, the Company is required to estimate the total amount of future royalty and milestone payments to Marathon over the life of the Monetization Agreement and contingent milestone payments from Marathon to the Company. The sum of future royalty payments less the $50,000 in proceeds received and future contingent payments will be recorded as interest expense over the life of the Monetization Agreement. At execution, the estimate of this total interest expense resulted in an effective annual interest rate of approximately 24.9%. This estimate contains significant assumptions that impact both the amount recorded at execution and the interest expense that will be recognized over the life of the Monetization Agreement. The Company assesses the estimated royalty and milestone payments to Marathon from Sunovion and contingent milestone payments from Marathon to the Company. To the extent the amount or timing of such payments is materially different from the original estimates, an adjustment will be recorded prospectively to</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15" w:name="page116"/>
    <w:bookmarkEnd w:id="115"/>
    <w:p>
      <w:pPr>
        <w:jc w:val="both"/>
        <w:spacing w:after="0" w:line="259" w:lineRule="auto"/>
        <w:rPr>
          <w:sz w:val="20"/>
          <w:szCs w:val="20"/>
          <w:color w:val="auto"/>
        </w:rPr>
      </w:pPr>
      <w:r>
        <w:rPr>
          <w:rFonts w:ascii="Times New Roman" w:cs="Times New Roman" w:eastAsia="Times New Roman" w:hAnsi="Times New Roman"/>
          <w:sz w:val="14"/>
          <w:szCs w:val="14"/>
          <w:color w:val="auto"/>
        </w:rPr>
        <w:t>increase or decrease interest expense. There are a number of factors that could materially affect the amount and timing of royalty and milestone payments to Marathon from Sunovion and, correspondingly, the amount of interest expense recorded by the Company, most of which are not under the Company’s control. Such factors include, but are not limited to, changing standards of care, the initiation of competing products, manufacturing or other delays, generic competition, intellectual property matters, adverse events that result in government health authority imposed restrictions on the use of products, significant changes in foreign exchange rates as the royalties remitted to Marathon are made in U.S. dollars (USD) while a portion of the underlying sales of KYNMOBI will be made in currencies other than USD, and other events or circumstances that are not currently foreseen. Changes to any of these factors could result in increases or decreases to both royalty revenue and interest expense related to the sale of future revenue.</w:t>
      </w:r>
    </w:p>
    <w:p>
      <w:pPr>
        <w:spacing w:after="0" w:line="6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In June 2023, Sunovion announced that it has voluntarily withdrawn KYNMOBI from the U.S. and Canadian markets. Therefore, the Company likely will not receive any of the additional contingent payments under the Monetization agreement. Further, the Company discontinued recording interest expense related to the sale of future revenue during the fourth quarter of 2022.</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following table shows the activity of the Liability related to the sale of future revenue:</w:t>
            </w: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87"/>
        </w:trPr>
        <w:tc>
          <w:tcPr>
            <w:tcW w:w="83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24"/>
                <w:szCs w:val="24"/>
                <w:color w:val="auto"/>
              </w:rPr>
            </w:pPr>
          </w:p>
        </w:tc>
      </w:tr>
      <w:tr>
        <w:trPr>
          <w:trHeight w:val="171"/>
        </w:trPr>
        <w:tc>
          <w:tcPr>
            <w:tcW w:w="83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 related to the sale of future revenue, net at beginning of the period</w:t>
            </w: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63,718</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64,490</w:t>
            </w:r>
          </w:p>
        </w:tc>
      </w:tr>
      <w:tr>
        <w:trPr>
          <w:trHeight w:val="180"/>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Royalties related to the sale of future revenue</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w:t>
            </w:r>
          </w:p>
        </w:tc>
      </w:tr>
      <w:tr>
        <w:trPr>
          <w:trHeight w:val="18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issuance costs</w:t>
            </w:r>
          </w:p>
        </w:tc>
        <w:tc>
          <w:tcPr>
            <w:tcW w:w="9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r>
      <w:tr>
        <w:trPr>
          <w:trHeight w:val="171"/>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Liability related to the sale of future revenue, net at end of the period (includes current portion of $1,000 and $1,000, respectively)</w:t>
            </w:r>
          </w:p>
        </w:tc>
        <w:tc>
          <w:tcPr>
            <w:tcW w:w="92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63,023</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63,718</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Note 18.</w:t>
        <w:tab/>
        <w:t>Other Non-Current Liabilities</w:t>
      </w:r>
    </w:p>
    <w:p>
      <w:pPr>
        <w:spacing w:after="0" w:line="9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Company’s other non-current liabilities at December 31, 2025 consisted of a confidential legal settlement net liability and AROs of $2,065. The Company’s other non-current liabilities at December 31, 2024 consisted of AROs of $2,039 and severance liabilities of $356.</w:t>
      </w:r>
    </w:p>
    <w:p>
      <w:pPr>
        <w:spacing w:after="0" w:line="3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AROs consists of estimated future spending related to removing certain leasehold improvements at the Company’s facilities in Portage, Indiana and Warren, New Jersey, and returning all facilities to their original condition. Depreciation expense related to the ARO assets included in overall depreciation expense were $11 for the years ended December 31, 2025 and 2024.</w:t>
      </w:r>
    </w:p>
    <w:p>
      <w:pPr>
        <w:spacing w:after="0" w:line="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Below is a schedule of activity in the Company’s liability for AROs for the years ended December 31, 2025 and 2024.</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6760" w:type="dxa"/>
            <w:vAlign w:val="bottom"/>
            <w:gridSpan w:val="2"/>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20" w:type="dxa"/>
            <w:vAlign w:val="bottom"/>
          </w:tcPr>
          <w:p>
            <w:pPr>
              <w:spacing w:after="0"/>
              <w:rPr>
                <w:sz w:val="15"/>
                <w:szCs w:val="15"/>
                <w:color w:val="auto"/>
              </w:rPr>
            </w:pPr>
          </w:p>
        </w:tc>
      </w:tr>
      <w:tr>
        <w:trPr>
          <w:trHeight w:val="180"/>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6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8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Accretion</w:t>
            </w:r>
          </w:p>
        </w:tc>
        <w:tc>
          <w:tcPr>
            <w:tcW w:w="61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 w:type="dxa"/>
            <w:vAlign w:val="bottom"/>
          </w:tcPr>
          <w:p>
            <w:pPr>
              <w:spacing w:after="0"/>
              <w:rPr>
                <w:sz w:val="15"/>
                <w:szCs w:val="15"/>
                <w:color w:val="auto"/>
              </w:rPr>
            </w:pPr>
          </w:p>
        </w:tc>
      </w:tr>
      <w:tr>
        <w:trPr>
          <w:trHeight w:val="171"/>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6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20" w:type="dxa"/>
            <w:vAlign w:val="bottom"/>
          </w:tcPr>
          <w:p>
            <w:pPr>
              <w:spacing w:after="0"/>
              <w:rPr>
                <w:sz w:val="14"/>
                <w:szCs w:val="14"/>
                <w:color w:val="auto"/>
              </w:rPr>
            </w:pPr>
          </w:p>
        </w:tc>
      </w:tr>
      <w:tr>
        <w:trPr>
          <w:trHeight w:val="18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6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80"/>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Accretion</w:t>
            </w:r>
          </w:p>
        </w:tc>
        <w:tc>
          <w:tcPr>
            <w:tcW w:w="61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0" w:type="dxa"/>
            <w:vAlign w:val="bottom"/>
          </w:tcPr>
          <w:p>
            <w:pPr>
              <w:spacing w:after="0"/>
              <w:rPr>
                <w:sz w:val="15"/>
                <w:szCs w:val="15"/>
                <w:color w:val="auto"/>
              </w:rPr>
            </w:pPr>
          </w:p>
        </w:tc>
      </w:tr>
      <w:tr>
        <w:trPr>
          <w:trHeight w:val="196"/>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61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w:t>
            </w:r>
          </w:p>
        </w:tc>
        <w:tc>
          <w:tcPr>
            <w:tcW w:w="20" w:type="dxa"/>
            <w:vAlign w:val="bottom"/>
          </w:tcPr>
          <w:p>
            <w:pPr>
              <w:spacing w:after="0"/>
              <w:rPr>
                <w:sz w:val="16"/>
                <w:szCs w:val="16"/>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22"/>
        </w:trPr>
        <w:tc>
          <w:tcPr>
            <w:tcW w:w="3640" w:type="dxa"/>
            <w:vAlign w:val="bottom"/>
          </w:tcPr>
          <w:p>
            <w:pPr>
              <w:spacing w:after="0"/>
              <w:rPr>
                <w:sz w:val="24"/>
                <w:szCs w:val="24"/>
                <w:color w:val="auto"/>
              </w:rPr>
            </w:pPr>
          </w:p>
        </w:tc>
        <w:tc>
          <w:tcPr>
            <w:tcW w:w="6760" w:type="dxa"/>
            <w:vAlign w:val="bottom"/>
            <w:gridSpan w:val="2"/>
          </w:tcPr>
          <w:p>
            <w:pPr>
              <w:jc w:val="right"/>
              <w:ind w:right="4569"/>
              <w:spacing w:after="0"/>
              <w:rPr>
                <w:sz w:val="20"/>
                <w:szCs w:val="20"/>
                <w:color w:val="auto"/>
              </w:rPr>
            </w:pPr>
            <w:r>
              <w:rPr>
                <w:rFonts w:ascii="Times New Roman" w:cs="Times New Roman" w:eastAsia="Times New Roman" w:hAnsi="Times New Roman"/>
                <w:sz w:val="13"/>
                <w:szCs w:val="13"/>
                <w:color w:val="auto"/>
              </w:rPr>
              <w:t>F-30</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0"/>
        </w:trPr>
        <w:tc>
          <w:tcPr>
            <w:tcW w:w="3640" w:type="dxa"/>
            <w:vAlign w:val="bottom"/>
            <w:tcBorders>
              <w:bottom w:val="single" w:sz="8" w:color="9A9A9A"/>
            </w:tcBorders>
          </w:tcPr>
          <w:p>
            <w:pPr>
              <w:spacing w:after="0"/>
              <w:rPr>
                <w:sz w:val="6"/>
                <w:szCs w:val="6"/>
                <w:color w:val="auto"/>
              </w:rPr>
            </w:pPr>
          </w:p>
        </w:tc>
        <w:tc>
          <w:tcPr>
            <w:tcW w:w="618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16" w:name="page117"/>
    <w:bookmarkEnd w:id="116"/>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Note 19.</w:t>
        <w:tab/>
        <w:t>Net Loss Per Share</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Basic net loss per share is calculated by dividing net loss by the weighted-average number of shares of Common Stock.</w:t>
      </w:r>
    </w:p>
    <w:p>
      <w:pPr>
        <w:spacing w:after="0" w:line="9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Diluted EPS is adjusted by the effect of dilutive securities, including options and awards under the Company’s equity compensation plans, warrants and ESPP. As a result of the Company’s net loss incurred for the years ended December 31, 2025 and 2024, all potentially dilutive instruments outstanding would have anti-dilutive effects on per-share calculations. Therefore, basic and diluted net loss per share are the same for the years ended December 31, 2025 and 2024 as reflected below.</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1"/>
        </w:trPr>
        <w:tc>
          <w:tcPr>
            <w:tcW w:w="83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(83,784)</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(44,137)</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42"/>
        </w:trPr>
        <w:tc>
          <w:tcPr>
            <w:tcW w:w="83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Denominator:</w:t>
            </w: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8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number of common shares – basic and diluted</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106,926,528</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86,726,211</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8"/>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per common share – basic and diluted</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(0.78)</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(0.51)</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260" w:hanging="255"/>
        <w:spacing w:after="0"/>
        <w:tabs>
          <w:tab w:leader="none" w:pos="2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2025 and 2024, outstanding stock options of 6,557,979 and 6,301,364 to purchase shares of Common Stock, respectively, were anti-dilutive.</w:t>
      </w:r>
    </w:p>
    <w:p>
      <w:pPr>
        <w:spacing w:after="0" w:line="9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2025 and 2024, outstanding restricted stock units of 4,411,776 and 3,692,876 to purchase shares of Common Stock, respectively were anti-dilutive.</w:t>
      </w:r>
    </w:p>
    <w:p>
      <w:pPr>
        <w:spacing w:after="0" w:line="9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2025 and 2024, outstanding warrants of 2,360,548 and 4,594,332 to purchase shares of Common Stock, respectively, were anti-dilutive.</w:t>
      </w:r>
    </w:p>
    <w:p>
      <w:pPr>
        <w:spacing w:after="0" w:line="9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Note 20.</w:t>
        <w:tab/>
        <w:t>Share-Based Compensation</w:t>
      </w:r>
    </w:p>
    <w:p>
      <w:pPr>
        <w:spacing w:after="0" w:line="9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Company provides certain employees, non-employee directors and consultants with performance incentives under the Aquestive Therapeutics, Inc. Equity Incentive Plan (“the Plan”), adopted by the Board of Directors on June 15, 2018. Under this Plan, the Company may grant restricted stock units, stock options, or other stock-based awards in order to align the long-term financial interests of selected participants with those of its stockholders, strengthen the commitment of such persons to the Company, and attract and retain competent and dedicated persons whose efforts will enhance long-term growth, profitability and share value.</w:t>
      </w:r>
    </w:p>
    <w:p>
      <w:pPr>
        <w:spacing w:after="0" w:line="5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service-based restricted stock units and stock options that have been awarded are subject to graded vesting over a service period, which is typically three years. The restricted stock units with vesting based on market conditions were awarded in 2023 and 2025 and vest in three years on the anniversary of the first tranche award. Compensation cost is recognized for restricted stock units, both service-based awards and market conditions vesting-based awards, on a straight line basis over the requisite service period for each award granted. Compensation cost for stock option awards is recognized based on a pro-rata basis over the requisite period for each award granted.</w:t>
      </w:r>
    </w:p>
    <w:p>
      <w:pPr>
        <w:spacing w:after="0" w:line="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At December 31, 2025, there were approximately 4.0 million shares available for grant.</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recognized share-based compensation in its Statements of Operations and Comprehensive Loss during the periods presented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1"/>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Expense classification:</w:t>
            </w:r>
          </w:p>
        </w:tc>
        <w:tc>
          <w:tcPr>
            <w:tcW w:w="422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4"/>
                <w:szCs w:val="14"/>
                <w:color w:val="auto"/>
              </w:rPr>
            </w:pPr>
          </w:p>
        </w:tc>
      </w:tr>
      <w:tr>
        <w:trPr>
          <w:trHeight w:val="171"/>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Manufacture and supply</w:t>
            </w:r>
          </w:p>
        </w:tc>
        <w:tc>
          <w:tcPr>
            <w:tcW w:w="42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20" w:type="dxa"/>
            <w:vAlign w:val="bottom"/>
          </w:tcPr>
          <w:p>
            <w:pPr>
              <w:spacing w:after="0"/>
              <w:rPr>
                <w:sz w:val="14"/>
                <w:szCs w:val="14"/>
                <w:color w:val="auto"/>
              </w:rPr>
            </w:pPr>
          </w:p>
        </w:tc>
      </w:tr>
      <w:tr>
        <w:trPr>
          <w:trHeight w:val="180"/>
        </w:trPr>
        <w:tc>
          <w:tcPr>
            <w:tcW w:w="4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4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20" w:type="dxa"/>
            <w:vAlign w:val="bottom"/>
          </w:tcPr>
          <w:p>
            <w:pPr>
              <w:spacing w:after="0"/>
              <w:rPr>
                <w:sz w:val="15"/>
                <w:szCs w:val="15"/>
                <w:color w:val="auto"/>
              </w:rPr>
            </w:pPr>
          </w:p>
        </w:tc>
      </w:tr>
      <w:tr>
        <w:trPr>
          <w:trHeight w:val="180"/>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42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5,268</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5,510</w:t>
            </w:r>
          </w:p>
        </w:tc>
        <w:tc>
          <w:tcPr>
            <w:tcW w:w="20" w:type="dxa"/>
            <w:vAlign w:val="bottom"/>
          </w:tcPr>
          <w:p>
            <w:pPr>
              <w:spacing w:after="0"/>
              <w:rPr>
                <w:sz w:val="15"/>
                <w:szCs w:val="15"/>
                <w:color w:val="auto"/>
              </w:rPr>
            </w:pPr>
          </w:p>
        </w:tc>
      </w:tr>
      <w:tr>
        <w:trPr>
          <w:trHeight w:val="171"/>
        </w:trPr>
        <w:tc>
          <w:tcPr>
            <w:tcW w:w="4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share-based compensation expenses</w:t>
            </w:r>
          </w:p>
        </w:tc>
        <w:tc>
          <w:tcPr>
            <w:tcW w:w="422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7,624</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7,099</w:t>
            </w:r>
          </w:p>
        </w:tc>
        <w:tc>
          <w:tcPr>
            <w:tcW w:w="20" w:type="dxa"/>
            <w:vAlign w:val="bottom"/>
          </w:tcPr>
          <w:p>
            <w:pPr>
              <w:spacing w:after="0"/>
              <w:rPr>
                <w:sz w:val="14"/>
                <w:szCs w:val="14"/>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4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Share-based compensation from:</w:t>
            </w:r>
          </w:p>
        </w:tc>
        <w:tc>
          <w:tcPr>
            <w:tcW w:w="4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80"/>
        </w:trPr>
        <w:tc>
          <w:tcPr>
            <w:tcW w:w="4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Restricted Stock Units</w:t>
            </w:r>
          </w:p>
        </w:tc>
        <w:tc>
          <w:tcPr>
            <w:tcW w:w="4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4,545</w:t>
            </w:r>
          </w:p>
        </w:tc>
        <w:tc>
          <w:tcPr>
            <w:tcW w:w="20" w:type="dxa"/>
            <w:vAlign w:val="bottom"/>
          </w:tcPr>
          <w:p>
            <w:pPr>
              <w:spacing w:after="0"/>
              <w:rPr>
                <w:sz w:val="15"/>
                <w:szCs w:val="15"/>
                <w:color w:val="auto"/>
              </w:rPr>
            </w:pPr>
          </w:p>
        </w:tc>
      </w:tr>
      <w:tr>
        <w:trPr>
          <w:trHeight w:val="180"/>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 Options</w:t>
            </w:r>
          </w:p>
        </w:tc>
        <w:tc>
          <w:tcPr>
            <w:tcW w:w="4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2,512</w:t>
            </w:r>
          </w:p>
        </w:tc>
        <w:tc>
          <w:tcPr>
            <w:tcW w:w="20" w:type="dxa"/>
            <w:vAlign w:val="bottom"/>
          </w:tcPr>
          <w:p>
            <w:pPr>
              <w:spacing w:after="0"/>
              <w:rPr>
                <w:sz w:val="15"/>
                <w:szCs w:val="15"/>
                <w:color w:val="auto"/>
              </w:rPr>
            </w:pPr>
          </w:p>
        </w:tc>
      </w:tr>
      <w:tr>
        <w:trPr>
          <w:trHeight w:val="180"/>
        </w:trPr>
        <w:tc>
          <w:tcPr>
            <w:tcW w:w="4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42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tcPr>
          <w:p>
            <w:pPr>
              <w:spacing w:after="0"/>
              <w:rPr>
                <w:sz w:val="15"/>
                <w:szCs w:val="15"/>
                <w:color w:val="auto"/>
              </w:rPr>
            </w:pPr>
          </w:p>
        </w:tc>
      </w:tr>
      <w:tr>
        <w:trPr>
          <w:trHeight w:val="196"/>
        </w:trPr>
        <w:tc>
          <w:tcPr>
            <w:tcW w:w="4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share-based compensation expenses</w:t>
            </w:r>
          </w:p>
        </w:tc>
        <w:tc>
          <w:tcPr>
            <w:tcW w:w="42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7,624</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7,099</w:t>
            </w:r>
          </w:p>
        </w:tc>
        <w:tc>
          <w:tcPr>
            <w:tcW w:w="20" w:type="dxa"/>
            <w:vAlign w:val="bottom"/>
          </w:tcPr>
          <w:p>
            <w:pPr>
              <w:spacing w:after="0"/>
              <w:rPr>
                <w:sz w:val="16"/>
                <w:szCs w:val="16"/>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22"/>
        </w:trPr>
        <w:tc>
          <w:tcPr>
            <w:tcW w:w="4080" w:type="dxa"/>
            <w:vAlign w:val="bottom"/>
          </w:tcPr>
          <w:p>
            <w:pPr>
              <w:spacing w:after="0"/>
              <w:rPr>
                <w:sz w:val="24"/>
                <w:szCs w:val="24"/>
                <w:color w:val="auto"/>
              </w:rPr>
            </w:pPr>
          </w:p>
        </w:tc>
        <w:tc>
          <w:tcPr>
            <w:tcW w:w="4560" w:type="dxa"/>
            <w:vAlign w:val="bottom"/>
            <w:gridSpan w:val="2"/>
          </w:tcPr>
          <w:p>
            <w:pPr>
              <w:jc w:val="right"/>
              <w:ind w:right="2809"/>
              <w:spacing w:after="0"/>
              <w:rPr>
                <w:sz w:val="20"/>
                <w:szCs w:val="20"/>
                <w:color w:val="auto"/>
              </w:rPr>
            </w:pPr>
            <w:r>
              <w:rPr>
                <w:rFonts w:ascii="Times New Roman" w:cs="Times New Roman" w:eastAsia="Times New Roman" w:hAnsi="Times New Roman"/>
                <w:sz w:val="13"/>
                <w:szCs w:val="13"/>
                <w:color w:val="auto"/>
              </w:rPr>
              <w:t>F-31</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0"/>
        </w:trPr>
        <w:tc>
          <w:tcPr>
            <w:tcW w:w="4080" w:type="dxa"/>
            <w:vAlign w:val="bottom"/>
            <w:tcBorders>
              <w:bottom w:val="single" w:sz="8" w:color="9A9A9A"/>
            </w:tcBorders>
          </w:tcPr>
          <w:p>
            <w:pPr>
              <w:spacing w:after="0"/>
              <w:rPr>
                <w:sz w:val="6"/>
                <w:szCs w:val="6"/>
                <w:color w:val="auto"/>
              </w:rPr>
            </w:pPr>
          </w:p>
        </w:tc>
        <w:tc>
          <w:tcPr>
            <w:tcW w:w="422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17" w:name="page118"/>
    <w:bookmarkEnd w:id="117"/>
    <w:p>
      <w:pPr>
        <w:ind w:left="520"/>
        <w:spacing w:after="0"/>
        <w:rPr>
          <w:sz w:val="20"/>
          <w:szCs w:val="20"/>
          <w:color w:val="auto"/>
        </w:rPr>
      </w:pPr>
      <w:r>
        <w:rPr>
          <w:rFonts w:ascii="Times New Roman" w:cs="Times New Roman" w:eastAsia="Times New Roman" w:hAnsi="Times New Roman"/>
          <w:sz w:val="14"/>
          <w:szCs w:val="14"/>
          <w:color w:val="auto"/>
        </w:rPr>
        <w:t>The following tables provide information about the Company’s restricted stock unit and stock option activity during the years ended December 31, 2025 and 2024.</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Units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tables summarize the Company’s awards of service-based and market conditions vesting-based restricted stock units during the years ended December 31, 2025 and 2024:</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38"/>
        </w:trPr>
        <w:tc>
          <w:tcPr>
            <w:tcW w:w="798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jc w:val="right"/>
              <w:ind w:right="309"/>
              <w:spacing w:after="0" w:line="138"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1"/>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Unit Awards (RSUs) - Service-based:</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Units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171"/>
        </w:trPr>
        <w:tc>
          <w:tcPr>
            <w:tcW w:w="798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as of December 31, 2023</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1,948</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0" w:type="dxa"/>
            <w:vAlign w:val="bottom"/>
          </w:tcPr>
          <w:p>
            <w:pPr>
              <w:spacing w:after="0"/>
              <w:rPr>
                <w:sz w:val="1"/>
                <w:szCs w:val="1"/>
                <w:color w:val="auto"/>
              </w:rPr>
            </w:pPr>
          </w:p>
        </w:tc>
      </w:tr>
      <w:tr>
        <w:trPr>
          <w:trHeight w:val="180"/>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0" w:type="dxa"/>
            <w:vAlign w:val="bottom"/>
          </w:tcPr>
          <w:p>
            <w:pPr>
              <w:spacing w:after="0"/>
              <w:rPr>
                <w:sz w:val="1"/>
                <w:szCs w:val="1"/>
                <w:color w:val="auto"/>
              </w:rPr>
            </w:pPr>
          </w:p>
        </w:tc>
      </w:tr>
      <w:tr>
        <w:trPr>
          <w:trHeight w:val="18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8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7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as of December 31, 2024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2,610</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0" w:type="dxa"/>
            <w:vAlign w:val="bottom"/>
          </w:tcPr>
          <w:p>
            <w:pPr>
              <w:spacing w:after="0"/>
              <w:rPr>
                <w:sz w:val="1"/>
                <w:szCs w:val="1"/>
                <w:color w:val="auto"/>
              </w:rPr>
            </w:pPr>
          </w:p>
        </w:tc>
      </w:tr>
      <w:tr>
        <w:trPr>
          <w:trHeight w:val="180"/>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0" w:type="dxa"/>
            <w:vAlign w:val="bottom"/>
          </w:tcPr>
          <w:p>
            <w:pPr>
              <w:spacing w:after="0"/>
              <w:rPr>
                <w:sz w:val="1"/>
                <w:szCs w:val="1"/>
                <w:color w:val="auto"/>
              </w:rPr>
            </w:pPr>
          </w:p>
        </w:tc>
      </w:tr>
      <w:tr>
        <w:trPr>
          <w:trHeight w:val="18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0" w:type="dxa"/>
            <w:vAlign w:val="bottom"/>
          </w:tcPr>
          <w:p>
            <w:pPr>
              <w:spacing w:after="0"/>
              <w:rPr>
                <w:sz w:val="1"/>
                <w:szCs w:val="1"/>
                <w:color w:val="auto"/>
              </w:rPr>
            </w:pPr>
          </w:p>
        </w:tc>
      </w:tr>
      <w:tr>
        <w:trPr>
          <w:trHeight w:val="18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196"/>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as of December 31,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2,684</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Expected to vest as of December 31, 2025</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0" w:type="dxa"/>
            <w:vAlign w:val="bottom"/>
          </w:tcPr>
          <w:p>
            <w:pPr>
              <w:spacing w:after="0" w:line="20" w:lineRule="exact"/>
              <w:rPr>
                <w:sz w:val="1"/>
                <w:szCs w:val="1"/>
                <w:color w:val="auto"/>
              </w:rPr>
            </w:pPr>
          </w:p>
        </w:tc>
      </w:tr>
      <w:tr>
        <w:trPr>
          <w:trHeight w:val="146"/>
        </w:trPr>
        <w:tc>
          <w:tcPr>
            <w:tcW w:w="7980" w:type="dxa"/>
            <w:vAlign w:val="bottom"/>
            <w:vMerge w:val="continue"/>
          </w:tcPr>
          <w:p>
            <w:pPr>
              <w:spacing w:after="0"/>
              <w:rPr>
                <w:sz w:val="12"/>
                <w:szCs w:val="12"/>
                <w:color w:val="auto"/>
              </w:rPr>
            </w:pPr>
          </w:p>
        </w:tc>
        <w:tc>
          <w:tcPr>
            <w:tcW w:w="14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2,548</w:t>
            </w:r>
          </w:p>
        </w:tc>
        <w:tc>
          <w:tcPr>
            <w:tcW w:w="30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 granted 1,602,050 service-based restricted stock units during the year ended December 31, 2025. The Company granted 1,470,300 service-based restricted stock units during the year ended December 31, 2024. During 2025, the total grant date fair market value of shares vested was $3,236.</w:t>
      </w:r>
    </w:p>
    <w:p>
      <w:pPr>
        <w:spacing w:after="0" w:line="3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As of December 31, 2025, $5,021 of total unrecognized compensation expenses related to unvested service-based restricted stock units are expected to be recognized over a remaining weighted average period of 1.49 years. The service-based restricted stock units granted to employees are subject to a three-year graduated vesting schedule and are not subject to performance-based criteria other than continued employment.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1040" w:type="dxa"/>
            <w:vAlign w:val="bottom"/>
            <w:vMerge w:val="restart"/>
          </w:tcPr>
          <w:p>
            <w:pPr>
              <w:jc w:val="center"/>
              <w:ind w:left="30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38"/>
        </w:trPr>
        <w:tc>
          <w:tcPr>
            <w:tcW w:w="77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tcPr>
          <w:p>
            <w:pPr>
              <w:jc w:val="right"/>
              <w:ind w:right="309"/>
              <w:spacing w:after="0" w:line="138"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1"/>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Unit Awards (RSUs) - Market conditions vesting-based:</w:t>
            </w:r>
          </w:p>
        </w:tc>
        <w:tc>
          <w:tcPr>
            <w:tcW w:w="1040" w:type="dxa"/>
            <w:vAlign w:val="bottom"/>
            <w:tcBorders>
              <w:bottom w:val="single" w:sz="8" w:color="auto"/>
            </w:tcBorders>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rPr>
              <w:t>of Units</w:t>
            </w: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171"/>
        </w:trPr>
        <w:tc>
          <w:tcPr>
            <w:tcW w:w="776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(In thousands)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as of December 31, 2023</w:t>
            </w:r>
          </w:p>
        </w:tc>
        <w:tc>
          <w:tcPr>
            <w:tcW w:w="10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180"/>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0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0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0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171"/>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as of December 31, 2024</w:t>
            </w: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180"/>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0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0" w:type="dxa"/>
            <w:vAlign w:val="bottom"/>
          </w:tcPr>
          <w:p>
            <w:pPr>
              <w:spacing w:after="0"/>
              <w:rPr>
                <w:sz w:val="1"/>
                <w:szCs w:val="1"/>
                <w:color w:val="auto"/>
              </w:rPr>
            </w:pPr>
          </w:p>
        </w:tc>
      </w:tr>
      <w:tr>
        <w:trPr>
          <w:trHeight w:val="18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0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0" w:type="dxa"/>
            <w:vAlign w:val="bottom"/>
          </w:tcPr>
          <w:p>
            <w:pPr>
              <w:spacing w:after="0"/>
              <w:rPr>
                <w:sz w:val="1"/>
                <w:szCs w:val="1"/>
                <w:color w:val="auto"/>
              </w:rPr>
            </w:pPr>
          </w:p>
        </w:tc>
      </w:tr>
      <w:tr>
        <w:trPr>
          <w:trHeight w:val="180"/>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0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as of December 31, 2025</w:t>
            </w:r>
          </w:p>
        </w:tc>
        <w:tc>
          <w:tcPr>
            <w:tcW w:w="104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1,728</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Expected to vest as of December 31, 2025</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0" w:type="dxa"/>
            <w:vAlign w:val="bottom"/>
          </w:tcPr>
          <w:p>
            <w:pPr>
              <w:spacing w:after="0" w:line="20" w:lineRule="exact"/>
              <w:rPr>
                <w:sz w:val="1"/>
                <w:szCs w:val="1"/>
                <w:color w:val="auto"/>
              </w:rPr>
            </w:pPr>
          </w:p>
        </w:tc>
      </w:tr>
      <w:tr>
        <w:trPr>
          <w:trHeight w:val="146"/>
        </w:trPr>
        <w:tc>
          <w:tcPr>
            <w:tcW w:w="776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1,641</w:t>
            </w:r>
          </w:p>
        </w:tc>
        <w:tc>
          <w:tcPr>
            <w:tcW w:w="300" w:type="dxa"/>
            <w:vAlign w:val="bottom"/>
            <w:gridSpan w:val="2"/>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Company granted 784,350 market conditions vesting-based restricted stock units during the year ended December 31, 2025. There were no market conditions vesting-based restricted stock units granted during the year ended December 31, 2024.</w:t>
      </w:r>
    </w:p>
    <w:p>
      <w:pPr>
        <w:spacing w:after="0" w:line="39"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As of December 31, 2025, $1,450 of total unrecognized compensation expenses related to unvested market conditions vesting-based restricted stock units are expected to be recognized over a remaining weighted average period of 1.03 years.</w:t>
      </w:r>
    </w:p>
    <w:p>
      <w:pPr>
        <w:spacing w:after="0" w:line="39"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2023 market conditions vesting-based restricted stock units vest based on a Performance Price measured as the 30-day average of the closing prices of the Company’s common stock as reported on the Nasdaq Stock Market immediately prior to and including the last calendar day of the three-year performance period (which ends on the third anniversary of the grant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18" w:name="page119"/>
    <w:bookmarkEnd w:id="118"/>
    <w:p>
      <w:pPr>
        <w:jc w:val="both"/>
        <w:spacing w:after="0" w:line="261" w:lineRule="auto"/>
        <w:rPr>
          <w:sz w:val="20"/>
          <w:szCs w:val="20"/>
          <w:color w:val="auto"/>
        </w:rPr>
      </w:pPr>
      <w:r>
        <w:rPr>
          <w:rFonts w:ascii="Times New Roman" w:cs="Times New Roman" w:eastAsia="Times New Roman" w:hAnsi="Times New Roman"/>
          <w:sz w:val="14"/>
          <w:szCs w:val="14"/>
          <w:color w:val="auto"/>
        </w:rPr>
        <w:t>date). To the extent the Performance Price is less than $1.75, the Vesting Percentage will be zero. To the extent the Performance Price is $1.75, the Vesting Percentage will be 50%. To the extent the Performance Price is $1.76 or greater, but less than $2.50, the Vesting Percentage will be a prorated amount between 50.01% and 99.99%, based on straight-line interpolation. To the extent the Performance Price is $2.50, the Vesting Percentage will be 100%. To the extent the Performance Price is $2.51 or greater, but less than $3.25, the Vesting Percentage will be a prorated amount between 100.01% and 149.99%, based on straight-line interpolation. To the extent the Performance Price is $3.25 or greater, the Vesting Percentage will be 150%. In no event will the Vesting Percentage exceed 150%.</w:t>
      </w:r>
    </w:p>
    <w:p>
      <w:pPr>
        <w:spacing w:after="0" w:line="5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The 2025 market conditions vesting-based restricted stock units were measured over a three-year performance period. The performance period is split into two pricing periods. The first pricing period commences on the grant date and ends on the calendar day immediately proceeding the second anniversary of the grant date. The second pricing period commences on the second anniversary of the grant date and ends on the third anniversary of the grant date, The performance price for the first pricing period is calculated based on the 30-day average price observed for the last 30 days of the first pricing period. The performance price for the second pricing period is calculated based on the highest 30-day average for any 30-day period throughout the second pricing period. To the extent the Performance Price is less than $6.00, the Vesting Percentage will be zero. To the extent the Performance Price is $6.00, the Vesting Percentage will be 50%. To the extent the Performance Price is $6.01 or greater, but less than $7.00, the Vesting Percentage will be a prorated amount between 50.01% and 99.99%, based on straight-line interpolation. To the extent the Performance Price is $7.00, the Vesting Percentage will be 100%. To the extent the Performance Price is $7.01 or greater, but less than $8.00, the Vesting Percentage will be a prorated amount between 100.01% and 149.99%, based on straight-line interpolation. To the extent the Performance Price is $8.00 or greater, the Vesting Percentage will be 150%. In no event will the Vesting Percentage exceed 150%.</w:t>
      </w:r>
    </w:p>
    <w:p>
      <w:pPr>
        <w:spacing w:after="0" w:line="23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Company’s estimates of the fair value of the 2025 market conditions vesting-based awards at their grant or valuation dates were based on a Monte Carlo simulation and considered various variables and the following assumptions: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dividend yield</w:t>
            </w: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center"/>
              <w:ind w:right="649"/>
              <w:spacing w:after="0"/>
              <w:rPr>
                <w:sz w:val="20"/>
                <w:szCs w:val="20"/>
                <w:color w:val="auto"/>
              </w:rPr>
            </w:pPr>
            <w:r>
              <w:rPr>
                <w:rFonts w:ascii="Times New Roman" w:cs="Times New Roman" w:eastAsia="Times New Roman" w:hAnsi="Times New Roman"/>
                <w:sz w:val="14"/>
                <w:szCs w:val="14"/>
                <w:color w:val="auto"/>
                <w:w w:val="96"/>
              </w:rPr>
              <w:t>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center"/>
              <w:ind w:right="649"/>
              <w:spacing w:after="0"/>
              <w:rPr>
                <w:sz w:val="20"/>
                <w:szCs w:val="20"/>
                <w:color w:val="auto"/>
              </w:rPr>
            </w:pPr>
            <w:r>
              <w:rPr>
                <w:rFonts w:ascii="Times New Roman" w:cs="Times New Roman" w:eastAsia="Times New Roman" w:hAnsi="Times New Roman"/>
                <w:sz w:val="14"/>
                <w:szCs w:val="14"/>
                <w:color w:val="auto"/>
              </w:rPr>
              <w:t>91.5%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0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center"/>
              <w:ind w:right="649"/>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price at grant date</w:t>
            </w: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649"/>
              <w:spacing w:after="0"/>
              <w:rPr>
                <w:sz w:val="20"/>
                <w:szCs w:val="20"/>
                <w:color w:val="auto"/>
              </w:rPr>
            </w:pPr>
            <w:r>
              <w:rPr>
                <w:rFonts w:ascii="Times New Roman" w:cs="Times New Roman" w:eastAsia="Times New Roman" w:hAnsi="Times New Roman"/>
                <w:sz w:val="14"/>
                <w:szCs w:val="14"/>
                <w:color w:val="auto"/>
                <w:w w:val="95"/>
              </w:rPr>
              <w:t>$2.65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52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Stock option awards</w:t>
            </w: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840" w:type="dxa"/>
            <w:vAlign w:val="bottom"/>
            <w:gridSpan w:val="5"/>
          </w:tcPr>
          <w:p>
            <w:pPr>
              <w:ind w:left="520"/>
              <w:spacing w:after="0"/>
              <w:rPr>
                <w:sz w:val="20"/>
                <w:szCs w:val="20"/>
                <w:color w:val="auto"/>
              </w:rPr>
            </w:pPr>
            <w:r>
              <w:rPr>
                <w:rFonts w:ascii="Times New Roman" w:cs="Times New Roman" w:eastAsia="Times New Roman" w:hAnsi="Times New Roman"/>
                <w:sz w:val="14"/>
                <w:szCs w:val="14"/>
                <w:color w:val="auto"/>
              </w:rPr>
              <w:t>The following table summarizes the Company’s stock option activity during the years ended December 31, 2025 and 2024:</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5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5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restart"/>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3"/>
          </w:tcPr>
          <w:p>
            <w:pPr>
              <w:jc w:val="center"/>
              <w:ind w:right="80"/>
              <w:spacing w:after="0" w:line="138"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060" w:type="dxa"/>
            <w:vAlign w:val="bottom"/>
            <w:vMerge w:val="restart"/>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12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8"/>
        </w:trPr>
        <w:tc>
          <w:tcPr>
            <w:tcW w:w="52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ind w:left="289"/>
              <w:spacing w:after="0" w:line="13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3"/>
          </w:tcPr>
          <w:p>
            <w:pPr>
              <w:jc w:val="center"/>
              <w:ind w:right="80"/>
              <w:spacing w:after="0" w:line="138"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18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000s, except share price data)</w:t>
            </w:r>
          </w:p>
        </w:tc>
        <w:tc>
          <w:tcPr>
            <w:tcW w:w="1060" w:type="dxa"/>
            <w:vAlign w:val="bottom"/>
          </w:tcPr>
          <w:p>
            <w:pPr>
              <w:jc w:val="center"/>
              <w:ind w:left="309"/>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Term in Years</w:t>
            </w:r>
          </w:p>
        </w:tc>
        <w:tc>
          <w:tcPr>
            <w:tcW w:w="180" w:type="dxa"/>
            <w:vAlign w:val="bottom"/>
          </w:tcPr>
          <w:p>
            <w:pPr>
              <w:spacing w:after="0"/>
              <w:rPr>
                <w:sz w:val="16"/>
                <w:szCs w:val="16"/>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1"/>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2023</w:t>
            </w:r>
          </w:p>
        </w:tc>
        <w:tc>
          <w:tcPr>
            <w:tcW w:w="10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5,733</w:t>
            </w: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0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0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1,024</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0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 and Expired</w:t>
            </w:r>
          </w:p>
        </w:tc>
        <w:tc>
          <w:tcPr>
            <w:tcW w:w="10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2024</w:t>
            </w: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6,301</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0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1,040</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0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Forfeited and Expired</w:t>
            </w:r>
          </w:p>
        </w:tc>
        <w:tc>
          <w:tcPr>
            <w:tcW w:w="10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2025</w:t>
            </w:r>
          </w:p>
        </w:tc>
        <w:tc>
          <w:tcPr>
            <w:tcW w:w="10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6,558</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Expected to vest as of December 31, 2025</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14,705</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4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w w:val="95"/>
              </w:rPr>
              <w:t>6,482</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Exercisable as of December 31, 2025</w:t>
            </w:r>
          </w:p>
        </w:tc>
        <w:tc>
          <w:tcPr>
            <w:tcW w:w="10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5,136</w:t>
            </w:r>
          </w:p>
        </w:tc>
        <w:tc>
          <w:tcPr>
            <w:tcW w:w="1160" w:type="dxa"/>
            <w:vAlign w:val="bottom"/>
            <w:gridSpan w:val="2"/>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weighted average grant date fair value of stock options granted during the years ended December 31, 2025 and 2024 was $2.38 and $3.98, respectively. During the year ended December 31, 2025, 1,040,000 stock options were granted with an exercise price of $2.98 and accordingly, given the Company’s share price of $6.46 at December 31, 2025, the aggregate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19" w:name="page120"/>
    <w:bookmarkEnd w:id="119"/>
    <w:p>
      <w:pPr>
        <w:jc w:val="both"/>
        <w:spacing w:after="0" w:line="287" w:lineRule="auto"/>
        <w:rPr>
          <w:sz w:val="20"/>
          <w:szCs w:val="20"/>
          <w:color w:val="auto"/>
        </w:rPr>
      </w:pPr>
      <w:r>
        <w:rPr>
          <w:rFonts w:ascii="Times New Roman" w:cs="Times New Roman" w:eastAsia="Times New Roman" w:hAnsi="Times New Roman"/>
          <w:sz w:val="14"/>
          <w:szCs w:val="14"/>
          <w:color w:val="auto"/>
        </w:rPr>
        <w:t>intrinsic value provided by certain shares granted during this period was approximately $3,600. During the year ended December 31, 2024, 1,023,900 stock options were granted with an exercise price of $4.83 and accordingly, given the Company’s share price of $3.56 at December 31, 2024, the intrinsic value provided by certain shares granted during this period was de minimis.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fair values of stock options granted were estimated using the Black-Scholes model based on the following assumptions:</w:t>
            </w: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87"/>
        </w:trPr>
        <w:tc>
          <w:tcPr>
            <w:tcW w:w="76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171"/>
        </w:trPr>
        <w:tc>
          <w:tcPr>
            <w:tcW w:w="76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40" w:type="dxa"/>
            <w:vAlign w:val="bottom"/>
            <w:tcBorders>
              <w:bottom w:val="single" w:sz="8" w:color="auto"/>
            </w:tcBorders>
          </w:tcPr>
          <w:p>
            <w:pPr>
              <w:spacing w:after="0"/>
              <w:rPr>
                <w:sz w:val="14"/>
                <w:szCs w:val="14"/>
                <w:color w:val="auto"/>
              </w:rPr>
            </w:pPr>
          </w:p>
        </w:tc>
      </w:tr>
      <w:tr>
        <w:trPr>
          <w:trHeight w:val="171"/>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dividend yield</w:t>
            </w: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6"/>
              </w:rPr>
              <w:t>0%</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center"/>
              <w:ind w:right="29"/>
              <w:spacing w:after="0"/>
              <w:rPr>
                <w:sz w:val="20"/>
                <w:szCs w:val="20"/>
                <w:color w:val="auto"/>
              </w:rPr>
            </w:pPr>
            <w:r>
              <w:rPr>
                <w:rFonts w:ascii="Times New Roman" w:cs="Times New Roman" w:eastAsia="Times New Roman" w:hAnsi="Times New Roman"/>
                <w:sz w:val="14"/>
                <w:szCs w:val="14"/>
                <w:color w:val="auto"/>
                <w:w w:val="96"/>
              </w:rPr>
              <w:t>0%</w:t>
            </w:r>
          </w:p>
        </w:tc>
        <w:tc>
          <w:tcPr>
            <w:tcW w:w="640" w:type="dxa"/>
            <w:vAlign w:val="bottom"/>
            <w:shd w:val="clear" w:color="auto" w:fill="CCEEFF"/>
          </w:tcPr>
          <w:p>
            <w:pPr>
              <w:spacing w:after="0"/>
              <w:rPr>
                <w:sz w:val="14"/>
                <w:szCs w:val="14"/>
                <w:color w:val="auto"/>
              </w:rPr>
            </w:pPr>
          </w:p>
        </w:tc>
      </w:tr>
      <w:tr>
        <w:trPr>
          <w:trHeight w:val="180"/>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66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96%</w:t>
            </w:r>
          </w:p>
        </w:tc>
        <w:tc>
          <w:tcPr>
            <w:tcW w:w="38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w w:val="84"/>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40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w w:val="97"/>
              </w:rPr>
              <w:t>107%</w:t>
            </w:r>
          </w:p>
        </w:tc>
      </w:tr>
      <w:tr>
        <w:trPr>
          <w:trHeight w:val="18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 (years)</w:t>
            </w:r>
          </w:p>
        </w:tc>
        <w:tc>
          <w:tcPr>
            <w:tcW w:w="66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5.5</w:t>
            </w:r>
          </w:p>
        </w:tc>
        <w:tc>
          <w:tcPr>
            <w:tcW w:w="38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84"/>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5.5</w:t>
            </w:r>
          </w:p>
        </w:tc>
        <w:tc>
          <w:tcPr>
            <w:tcW w:w="400" w:type="dxa"/>
            <w:vAlign w:val="bottom"/>
            <w:shd w:val="clear" w:color="auto" w:fill="CCEEFF"/>
          </w:tcPr>
          <w:p>
            <w:pPr>
              <w:jc w:val="center"/>
              <w:ind w:right="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center"/>
              <w:ind w:right="69"/>
              <w:spacing w:after="0"/>
              <w:rPr>
                <w:sz w:val="20"/>
                <w:szCs w:val="20"/>
                <w:color w:val="auto"/>
              </w:rPr>
            </w:pPr>
            <w:r>
              <w:rPr>
                <w:rFonts w:ascii="Times New Roman" w:cs="Times New Roman" w:eastAsia="Times New Roman" w:hAnsi="Times New Roman"/>
                <w:sz w:val="14"/>
                <w:szCs w:val="14"/>
                <w:color w:val="auto"/>
              </w:rPr>
              <w:t>6.1</w:t>
            </w:r>
          </w:p>
        </w:tc>
      </w:tr>
      <w:tr>
        <w:trPr>
          <w:trHeight w:val="180"/>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66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3.8%</w:t>
            </w:r>
          </w:p>
        </w:tc>
        <w:tc>
          <w:tcPr>
            <w:tcW w:w="38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w w:val="84"/>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4.2%</w:t>
            </w:r>
          </w:p>
        </w:tc>
        <w:tc>
          <w:tcPr>
            <w:tcW w:w="1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40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4.5%</w:t>
            </w:r>
          </w:p>
        </w:tc>
      </w:tr>
      <w:tr>
        <w:trPr>
          <w:trHeight w:val="18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prices</w:t>
            </w:r>
          </w:p>
        </w:tc>
        <w:tc>
          <w:tcPr>
            <w:tcW w:w="66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w w:val="95"/>
              </w:rPr>
              <w:t>$2.65</w:t>
            </w:r>
          </w:p>
        </w:tc>
        <w:tc>
          <w:tcPr>
            <w:tcW w:w="38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84"/>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$5.58</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$2.50</w:t>
            </w:r>
          </w:p>
        </w:tc>
        <w:tc>
          <w:tcPr>
            <w:tcW w:w="400" w:type="dxa"/>
            <w:vAlign w:val="bottom"/>
            <w:shd w:val="clear" w:color="auto" w:fill="CCEEFF"/>
          </w:tcPr>
          <w:p>
            <w:pPr>
              <w:jc w:val="center"/>
              <w:ind w:right="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center"/>
              <w:ind w:right="49"/>
              <w:spacing w:after="0"/>
              <w:rPr>
                <w:sz w:val="20"/>
                <w:szCs w:val="20"/>
                <w:color w:val="auto"/>
              </w:rPr>
            </w:pPr>
            <w:r>
              <w:rPr>
                <w:rFonts w:ascii="Times New Roman" w:cs="Times New Roman" w:eastAsia="Times New Roman" w:hAnsi="Times New Roman"/>
                <w:sz w:val="14"/>
                <w:szCs w:val="14"/>
                <w:color w:val="auto"/>
              </w:rPr>
              <w:t>$5.68</w:t>
            </w:r>
          </w:p>
        </w:tc>
      </w:tr>
    </w:tbl>
    <w:p>
      <w:pPr>
        <w:spacing w:after="0" w:line="144"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Company anticipates reinvesting earnings for the foreseeable future in product development and other avenues of share-value growth and therefore used a dividend yield of zero. The estimate of volatility was determined based on an estimate of stock price volatility using the historical trading data of the Company's publicly-traded Common Stock at the time of grant. The expected term of the award was calculated using the simplified method and weighted average was utilized taking into account the vesting periods and contractual life. The risk-free interest rates are derived from the U.S. Treasury yield curve in effect on the date of grant for instruments with a remaining term similar to the expected term of the options.</w:t>
      </w:r>
    </w:p>
    <w:p>
      <w:pPr>
        <w:spacing w:after="0" w:line="5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As of December 31, 2025, $2,964 of total unrecognized compensation expenses related to non-vested stock options is expected to be recognized over a remaining weighted average period of 1.56 years. These option grants provided a maximum contract term of 10 years from grant date, with a weighted average remaining contract life of 5.58 years. Options granted to senior management and key employees are subject to a 3-year graded vesting schedule while options granted to the Board of Directors are subject to a one year cliff vesting schedule. These stock options are not subject to performance-based criteria other than continued employment.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2022 Inducement Equity Incentive Plan</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accordance with NASDAQ Listing Rule 5635(c)(4), the Company adopted the 2022 Equity Inducement Plan approved by the Compensation Committee of the Board of Directors of the Company effective as of July 29, 2022. There were 50,000 service-based awards and 50,000 options granted and outstanding under this Plan as of December 31, 2025. The options and service-based awards granted under this Plan are included in the tables above. As of December 31, 2025, 900,000 shares remained available for grant under this Plan.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Employee Stock Purchase Plan</w:t>
      </w:r>
    </w:p>
    <w:p>
      <w:pPr>
        <w:spacing w:after="0" w:line="9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Company’s Employee Stock Purchase Plan (the "ESPP"), as amended and restated effective as of January 1, 2019, features two six-month offering periods per year, running from January 1 to June 30 and July 1 to December 31. Under the ESPP, employees of the Company may elect to purchase the Company’s Common Stock at the lower of 85% of the fair value of shares on either the first or last day of the offering period. During the years ended December 31, 2025 and 2024, 38,377 and 35,374 shares were purchased and issued through the ESPP at total discounts of $81 and $42, respectively. As of December 31, 2025, 307,845 shares remained available for issuance under the ESPP.</w:t>
      </w:r>
    </w:p>
    <w:p>
      <w:pPr>
        <w:spacing w:after="0" w:line="5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Note 21.</w:t>
        <w:tab/>
        <w:t>Employee Benefit Plans</w:t>
      </w:r>
    </w:p>
    <w:p>
      <w:pPr>
        <w:spacing w:after="0" w:line="9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 sponsors a defined-contribution 401(k) plan covering all full-time employees and makes matching employer contributions as defined by the terms of that plan. The Company may also make discretionary contributions. Total contributions made to the plan by the Company for the years ended December 31, 2025 and 2024 were $920 and $849, respectively.</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20" w:name="page121"/>
    <w:bookmarkEnd w:id="120"/>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Note 22.</w:t>
      </w:r>
      <w:r>
        <w:rPr>
          <w:sz w:val="20"/>
          <w:szCs w:val="20"/>
          <w:color w:val="auto"/>
        </w:rPr>
        <w:tab/>
      </w:r>
      <w:r>
        <w:rPr>
          <w:rFonts w:ascii="Times New Roman" w:cs="Times New Roman" w:eastAsia="Times New Roman" w:hAnsi="Times New Roman"/>
          <w:sz w:val="13"/>
          <w:szCs w:val="13"/>
          <w:b w:val="1"/>
          <w:bCs w:val="1"/>
          <w:color w:val="auto"/>
        </w:rPr>
        <w:t>Income Taxes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adopted ASU 2023-09 for the year ending December 31, 2025 and added the required disclosures on a prospective basis.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components of the provision for income taxes are as follows: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 classification:</w:t>
            </w: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1"/>
        </w:trPr>
        <w:tc>
          <w:tcPr>
            <w:tcW w:w="83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80"/>
        </w:trPr>
        <w:tc>
          <w:tcPr>
            <w:tcW w:w="8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Federal</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ind w:left="749"/>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State</w:t>
            </w:r>
          </w:p>
        </w:tc>
        <w:tc>
          <w:tcPr>
            <w:tcW w:w="3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center"/>
              <w:ind w:left="769"/>
              <w:spacing w:after="0"/>
              <w:rPr>
                <w:sz w:val="20"/>
                <w:szCs w:val="20"/>
                <w:color w:val="auto"/>
              </w:rPr>
            </w:pPr>
            <w:r>
              <w:rPr>
                <w:rFonts w:ascii="Times New Roman" w:cs="Times New Roman" w:eastAsia="Times New Roman" w:hAnsi="Times New Roman"/>
                <w:sz w:val="14"/>
                <w:szCs w:val="14"/>
                <w:color w:val="auto"/>
                <w:w w:val="99"/>
              </w:rPr>
              <w:t>—</w:t>
            </w:r>
          </w:p>
        </w:tc>
      </w:tr>
      <w:tr>
        <w:trPr>
          <w:trHeight w:val="171"/>
        </w:trPr>
        <w:tc>
          <w:tcPr>
            <w:tcW w:w="8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center"/>
              <w:ind w:left="749"/>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0"/>
        </w:trPr>
        <w:tc>
          <w:tcPr>
            <w:tcW w:w="8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Federal</w:t>
            </w:r>
          </w:p>
        </w:tc>
        <w:tc>
          <w:tcPr>
            <w:tcW w:w="340" w:type="dxa"/>
            <w:vAlign w:val="bottom"/>
          </w:tcPr>
          <w:p>
            <w:pPr>
              <w:spacing w:after="0"/>
              <w:rPr>
                <w:sz w:val="15"/>
                <w:szCs w:val="15"/>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00" w:type="dxa"/>
            <w:vAlign w:val="bottom"/>
          </w:tcPr>
          <w:p>
            <w:pPr>
              <w:jc w:val="center"/>
              <w:ind w:left="769"/>
              <w:spacing w:after="0"/>
              <w:rPr>
                <w:sz w:val="20"/>
                <w:szCs w:val="20"/>
                <w:color w:val="auto"/>
              </w:rPr>
            </w:pPr>
            <w:r>
              <w:rPr>
                <w:rFonts w:ascii="Times New Roman" w:cs="Times New Roman" w:eastAsia="Times New Roman" w:hAnsi="Times New Roman"/>
                <w:sz w:val="14"/>
                <w:szCs w:val="14"/>
                <w:color w:val="auto"/>
                <w:w w:val="99"/>
              </w:rPr>
              <w:t>—</w:t>
            </w: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State</w:t>
            </w:r>
          </w:p>
        </w:tc>
        <w:tc>
          <w:tcPr>
            <w:tcW w:w="3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center"/>
              <w:ind w:left="769"/>
              <w:spacing w:after="0"/>
              <w:rPr>
                <w:sz w:val="20"/>
                <w:szCs w:val="20"/>
                <w:color w:val="auto"/>
              </w:rPr>
            </w:pPr>
            <w:r>
              <w:rPr>
                <w:rFonts w:ascii="Times New Roman" w:cs="Times New Roman" w:eastAsia="Times New Roman" w:hAnsi="Times New Roman"/>
                <w:sz w:val="14"/>
                <w:szCs w:val="14"/>
                <w:color w:val="auto"/>
                <w:w w:val="99"/>
              </w:rPr>
              <w:t>—</w:t>
            </w:r>
          </w:p>
        </w:tc>
      </w:tr>
      <w:tr>
        <w:trPr>
          <w:trHeight w:val="171"/>
        </w:trPr>
        <w:tc>
          <w:tcPr>
            <w:tcW w:w="83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center"/>
              <w:ind w:left="769"/>
              <w:spacing w:after="0"/>
              <w:rPr>
                <w:sz w:val="20"/>
                <w:szCs w:val="20"/>
                <w:color w:val="auto"/>
              </w:rPr>
            </w:pPr>
            <w:r>
              <w:rPr>
                <w:rFonts w:ascii="Times New Roman" w:cs="Times New Roman" w:eastAsia="Times New Roman" w:hAnsi="Times New Roman"/>
                <w:sz w:val="14"/>
                <w:szCs w:val="14"/>
                <w:color w:val="auto"/>
                <w:w w:val="99"/>
              </w:rPr>
              <w:t>—</w:t>
            </w:r>
          </w:p>
        </w:tc>
      </w:tr>
      <w:tr>
        <w:trPr>
          <w:trHeight w:val="196"/>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center"/>
              <w:ind w:left="749"/>
              <w:spacing w:after="0"/>
              <w:rPr>
                <w:sz w:val="20"/>
                <w:szCs w:val="20"/>
                <w:color w:val="auto"/>
              </w:rPr>
            </w:pPr>
            <w:r>
              <w:rPr>
                <w:rFonts w:ascii="Times New Roman" w:cs="Times New Roman" w:eastAsia="Times New Roman" w:hAnsi="Times New Roman"/>
                <w:sz w:val="14"/>
                <w:szCs w:val="14"/>
                <w:color w:val="auto"/>
              </w:rPr>
              <w:t>(14)</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tax effect of temporary differences between the tax bases of assets and liabilities and their financial reporting amounts that give rise to the deferred tax assets and deferred tax liabilities as of December 31, 2025 and 2024 are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71"/>
        </w:trPr>
        <w:tc>
          <w:tcPr>
            <w:tcW w:w="83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80"/>
        </w:trPr>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Inventory</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80" w:type="dxa"/>
            <w:vAlign w:val="bottom"/>
          </w:tcPr>
          <w:p>
            <w:pPr>
              <w:spacing w:after="0"/>
              <w:rPr>
                <w:sz w:val="15"/>
                <w:szCs w:val="15"/>
                <w:color w:val="auto"/>
              </w:rPr>
            </w:pPr>
          </w:p>
        </w:tc>
        <w:tc>
          <w:tcPr>
            <w:tcW w:w="4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r>
      <w:tr>
        <w:trPr>
          <w:trHeight w:val="18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expenses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180"/>
        </w:trPr>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NOL carryforwards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48,764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34,689</w:t>
            </w:r>
          </w:p>
        </w:tc>
      </w:tr>
      <w:tr>
        <w:trPr>
          <w:trHeight w:val="18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limitation imposed by the TCJA</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11,594</w:t>
            </w:r>
          </w:p>
        </w:tc>
      </w:tr>
      <w:tr>
        <w:trPr>
          <w:trHeight w:val="180"/>
        </w:trPr>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Compensation</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2,966</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6,862</w:t>
            </w:r>
          </w:p>
        </w:tc>
      </w:tr>
      <w:tr>
        <w:trPr>
          <w:trHeight w:val="18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Revenue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5,144</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5,157</w:t>
            </w:r>
          </w:p>
        </w:tc>
      </w:tr>
      <w:tr>
        <w:trPr>
          <w:trHeight w:val="180"/>
        </w:trPr>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Royalty Monetization</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16,289</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16,117</w:t>
            </w:r>
          </w:p>
        </w:tc>
      </w:tr>
      <w:tr>
        <w:trPr>
          <w:trHeight w:val="18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Property and Equipment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2,690</w:t>
            </w:r>
          </w:p>
        </w:tc>
      </w:tr>
      <w:tr>
        <w:trPr>
          <w:trHeight w:val="180"/>
        </w:trPr>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Orphan Drug and R&amp;D Tax Credits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7,528</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5,099</w:t>
            </w:r>
          </w:p>
        </w:tc>
      </w:tr>
      <w:tr>
        <w:trPr>
          <w:trHeight w:val="18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Intangible Assets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r>
      <w:tr>
        <w:trPr>
          <w:trHeight w:val="180"/>
        </w:trPr>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174 R&amp;D Capitalization</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6,906</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7,263</w:t>
            </w:r>
          </w:p>
        </w:tc>
      </w:tr>
      <w:tr>
        <w:trPr>
          <w:trHeight w:val="18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Sales of Royalty Rights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3,438</w:t>
            </w:r>
          </w:p>
        </w:tc>
      </w:tr>
      <w:tr>
        <w:trPr>
          <w:trHeight w:val="180"/>
        </w:trPr>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OID and Deferred Financing Cost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1,636</w:t>
            </w:r>
          </w:p>
        </w:tc>
      </w:tr>
      <w:tr>
        <w:trPr>
          <w:trHeight w:val="18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4,724</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171"/>
        </w:trPr>
        <w:tc>
          <w:tcPr>
            <w:tcW w:w="8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114,921</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95,348</w:t>
            </w:r>
          </w:p>
        </w:tc>
      </w:tr>
      <w:tr>
        <w:trPr>
          <w:trHeight w:val="18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0"/>
        </w:trPr>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Right of use assets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expenses</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w:t>
            </w:r>
          </w:p>
        </w:tc>
      </w:tr>
      <w:tr>
        <w:trPr>
          <w:trHeight w:val="171"/>
        </w:trPr>
        <w:tc>
          <w:tcPr>
            <w:tcW w:w="8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(1,747)</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w:t>
            </w:r>
          </w:p>
        </w:tc>
      </w:tr>
      <w:tr>
        <w:trPr>
          <w:trHeight w:val="202"/>
        </w:trPr>
        <w:tc>
          <w:tcPr>
            <w:tcW w:w="83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r>
      <w:tr>
        <w:trPr>
          <w:trHeight w:val="171"/>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Valuation Allowance</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(113,174)</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(94,553)</w:t>
            </w:r>
          </w:p>
        </w:tc>
      </w:tr>
      <w:tr>
        <w:trPr>
          <w:trHeight w:val="192"/>
        </w:trPr>
        <w:tc>
          <w:tcPr>
            <w:tcW w:w="83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r>
      <w:tr>
        <w:trPr>
          <w:trHeight w:val="17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deferred tax asset/(liability)</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8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4"/>
          <w:szCs w:val="14"/>
          <w:color w:val="auto"/>
        </w:rPr>
        <w:t>At December 31, 2025 and 2024, the Company had federal net operating loss carryforwards of $184,246 and $128,658, respectively, which can be carried forward for an indefinite period. At December 31, 2025 and 2024, the Company also had state net operating loss carryforwards of $212,690 and $139,189, respectively, which begin expiring in 2035. At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color w:val="auto"/>
        </w:rPr>
        <w:t>December 31, 2025 the Company had $7,214 of federal R&amp;D credits and $398 of state R&amp;D credits, which begin expiring in 2037 and 2031, respectively.</w:t>
      </w:r>
    </w:p>
    <w:p>
      <w:pPr>
        <w:spacing w:after="0" w:line="179"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The Company has determined, based upon available evidence, that it is more likely than not that the net deferred tax asset will not be realized and accordingly, has provided a full valuation allowance against its net deferred tax assets. Valuation allowances of $113,174, and $94,553 have been established at December 31, 2025 and 2024, respectively. The Company may also be subject to the net operating loss utilization provisions of Section 382 of the Internal Revenue Code due to ownership changes. As a result, the use of NOL carry forwards from the current and prior periods are subject to annual limitations.</w:t>
      </w:r>
    </w:p>
    <w:p>
      <w:pPr>
        <w:spacing w:after="0" w:line="56"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4"/>
          <w:szCs w:val="14"/>
          <w:color w:val="auto"/>
        </w:rPr>
        <w:t>On July 4, 2025, the President signed H.R. 1, the Budget Reconciliation Bill, into law. The legislation includes several changes to federal tax law that generally allow for more favorable deductibility of certain business expenses beginning in 2025, including the restoration of immediate expensing of domestic R&amp;D expenditures, reinstatement of 100% bonus depreciation, and more favorable rules for determining the limitation on business interest expense. These changes were reflected in the income tax provision for the year ended December 31, 2025. As the result of the Company maintaining a full valuation allowance against its U.S. federal and state deferred tax assets, the changes introduced by this legislation did not result in a material impact to the Company’s income tax provision or deferred tax balances for the current reporting period. The Company will continue to monitor the potential future impacts of the legislation, including any changes to its valuation allowance assessment, as further guidance becomes available and as facts and circumstances evolve.</w:t>
      </w:r>
    </w:p>
    <w:p>
      <w:pPr>
        <w:spacing w:after="0" w:line="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has analyzed its tax positions and has concluded that there were no uncertain positions as of December 31, 2025 and 2024.</w:t>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reconciliation of income tax expense computed at the statutory federal tax rate to income taxes as reflected in the financial statements is as follows:</w:t>
      </w:r>
    </w:p>
    <w:p>
      <w:pPr>
        <w:spacing w:after="0" w:line="123"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0" w:type="dxa"/>
            <w:vAlign w:val="bottom"/>
            <w:tcBorders>
              <w:bottom w:val="single" w:sz="8" w:color="CCEEFF"/>
            </w:tcBorders>
          </w:tcPr>
          <w:p>
            <w:pPr>
              <w:spacing w:after="0"/>
              <w:rPr>
                <w:sz w:val="14"/>
                <w:szCs w:val="14"/>
                <w:color w:val="auto"/>
              </w:rPr>
            </w:pPr>
          </w:p>
        </w:tc>
        <w:tc>
          <w:tcPr>
            <w:tcW w:w="100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5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Tax</w:t>
            </w:r>
          </w:p>
        </w:tc>
      </w:tr>
      <w:tr>
        <w:trPr>
          <w:trHeight w:val="171"/>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At U.S. federal statutory rate</w:t>
            </w: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(17,595)</w:t>
            </w:r>
          </w:p>
        </w:tc>
      </w:tr>
      <w:tr>
        <w:trPr>
          <w:trHeight w:val="180"/>
        </w:trPr>
        <w:tc>
          <w:tcPr>
            <w:tcW w:w="9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Research and development credit</w:t>
            </w:r>
          </w:p>
        </w:tc>
        <w:tc>
          <w:tcPr>
            <w:tcW w:w="5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(2,115)</w:t>
            </w:r>
          </w:p>
        </w:tc>
      </w:tr>
      <w:tr>
        <w:trPr>
          <w:trHeight w:val="180"/>
        </w:trPr>
        <w:tc>
          <w:tcPr>
            <w:tcW w:w="9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Changes in valuation allowances</w:t>
            </w:r>
          </w:p>
        </w:tc>
        <w:tc>
          <w:tcPr>
            <w:tcW w:w="5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15,174</w:t>
            </w:r>
          </w:p>
        </w:tc>
      </w:tr>
      <w:tr>
        <w:trPr>
          <w:trHeight w:val="180"/>
        </w:trPr>
        <w:tc>
          <w:tcPr>
            <w:tcW w:w="9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Stock compensation</w:t>
            </w:r>
          </w:p>
        </w:tc>
        <w:tc>
          <w:tcPr>
            <w:tcW w:w="5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3,923</w:t>
            </w:r>
          </w:p>
        </w:tc>
      </w:tr>
      <w:tr>
        <w:trPr>
          <w:trHeight w:val="180"/>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items</w:t>
            </w:r>
          </w:p>
        </w:tc>
        <w:tc>
          <w:tcPr>
            <w:tcW w:w="10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r>
      <w:tr>
        <w:trPr>
          <w:trHeight w:val="171"/>
        </w:trPr>
        <w:tc>
          <w:tcPr>
            <w:tcW w:w="9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100" w:type="dxa"/>
            <w:vAlign w:val="bottom"/>
          </w:tcPr>
          <w:p>
            <w:pPr>
              <w:spacing w:after="0"/>
              <w:rPr>
                <w:sz w:val="14"/>
                <w:szCs w:val="14"/>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8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80" w:type="dxa"/>
            <w:vAlign w:val="bottom"/>
            <w:tcBorders>
              <w:bottom w:val="single" w:sz="8" w:color="CCEEFF"/>
            </w:tcBorders>
          </w:tcPr>
          <w:p>
            <w:pPr>
              <w:spacing w:after="0"/>
              <w:rPr>
                <w:sz w:val="16"/>
                <w:szCs w:val="16"/>
                <w:color w:val="auto"/>
              </w:rPr>
            </w:pPr>
          </w:p>
        </w:tc>
        <w:tc>
          <w:tcPr>
            <w:tcW w:w="22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71"/>
        </w:trPr>
        <w:tc>
          <w:tcPr>
            <w:tcW w:w="9080" w:type="dxa"/>
            <w:vAlign w:val="bottom"/>
            <w:shd w:val="clear" w:color="auto" w:fill="CCEEFF"/>
          </w:tcPr>
          <w:p>
            <w:pPr>
              <w:spacing w:after="0"/>
              <w:rPr>
                <w:sz w:val="14"/>
                <w:szCs w:val="14"/>
                <w:color w:val="auto"/>
              </w:rPr>
            </w:pPr>
          </w:p>
        </w:tc>
        <w:tc>
          <w:tcPr>
            <w:tcW w:w="22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Presented under prior guidance</w:t>
            </w:r>
          </w:p>
        </w:tc>
      </w:tr>
      <w:tr>
        <w:trPr>
          <w:trHeight w:val="180"/>
        </w:trPr>
        <w:tc>
          <w:tcPr>
            <w:tcW w:w="9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At U.S. federal statutory rate</w:t>
            </w: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180"/>
        </w:trPr>
        <w:tc>
          <w:tcPr>
            <w:tcW w:w="9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State taxes, net of federal effect</w:t>
            </w:r>
          </w:p>
        </w:tc>
        <w:tc>
          <w:tcPr>
            <w:tcW w:w="22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3.3</w:t>
            </w:r>
          </w:p>
        </w:tc>
      </w:tr>
      <w:tr>
        <w:trPr>
          <w:trHeight w:val="180"/>
        </w:trPr>
        <w:tc>
          <w:tcPr>
            <w:tcW w:w="9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Permanent differences</w:t>
            </w:r>
          </w:p>
        </w:tc>
        <w:tc>
          <w:tcPr>
            <w:tcW w:w="22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(1.1)</w:t>
            </w:r>
          </w:p>
        </w:tc>
      </w:tr>
      <w:tr>
        <w:trPr>
          <w:trHeight w:val="180"/>
        </w:trPr>
        <w:tc>
          <w:tcPr>
            <w:tcW w:w="9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 rate changes</w:t>
            </w:r>
          </w:p>
        </w:tc>
        <w:tc>
          <w:tcPr>
            <w:tcW w:w="22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(0.7)</w:t>
            </w:r>
          </w:p>
        </w:tc>
      </w:tr>
      <w:tr>
        <w:trPr>
          <w:trHeight w:val="180"/>
        </w:trPr>
        <w:tc>
          <w:tcPr>
            <w:tcW w:w="9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22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(23.5)</w:t>
            </w:r>
          </w:p>
        </w:tc>
      </w:tr>
      <w:tr>
        <w:trPr>
          <w:trHeight w:val="180"/>
        </w:trPr>
        <w:tc>
          <w:tcPr>
            <w:tcW w:w="9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FDII deduction</w:t>
            </w:r>
          </w:p>
        </w:tc>
        <w:tc>
          <w:tcPr>
            <w:tcW w:w="22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9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Provison to return adjustments</w:t>
            </w:r>
          </w:p>
        </w:tc>
        <w:tc>
          <w:tcPr>
            <w:tcW w:w="22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1.0</w:t>
            </w:r>
          </w:p>
        </w:tc>
      </w:tr>
      <w:tr>
        <w:trPr>
          <w:trHeight w:val="196"/>
        </w:trPr>
        <w:tc>
          <w:tcPr>
            <w:tcW w:w="9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Effective tax rate</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0.0 %</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2025, the Company received an ERTC refund of $1,402, which is included in Interest income and other income, net on the Company's Statements of Operations and Comprehensive Loss. The Company also received a refund of $65, including interest, related to the 2023 tax year.</w:t>
      </w:r>
    </w:p>
    <w:p>
      <w:pPr>
        <w:spacing w:after="0" w:line="3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Note 23.</w:t>
        <w:tab/>
        <w:t>Contingencies</w:t>
      </w:r>
    </w:p>
    <w:p>
      <w:pPr>
        <w:spacing w:after="0" w:line="9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From time to time, the Company has been and may again become involved in legal proceedings arising in the course of its business, including product liability, intellectual property, securities, civil tort, and commercial litigation, and environmental or other regulatory matters.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i w:val="1"/>
          <w:iCs w:val="1"/>
          <w:color w:val="auto"/>
        </w:rPr>
        <w:t>California Litigation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Neurelis, Inc. v. Aquestive Therapeutics, Inc.</w:t>
      </w:r>
    </w:p>
    <w:p>
      <w:pPr>
        <w:spacing w:after="0" w:line="94"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On December 5, 2019, Neurelis, Inc. ("Neurelis") filed a civil tort lawsuit against the Company in the Superior Court of California, County of San Diego. In December 2025, the parties reached a mutual out-of-court settlement agreement resolving all claims related to the matter, the terms of which settlement agreement are confidential. In the settlement agreement, the Company did not concede liability and settled the matter for business reasons. The Company does not consider this settlement material to its financial condition. We anticipate that the court will enter in the records an order of dismissal of the lawsuit with prejudice in the first quarter of 2026. The settlement of the matter was recorded within Selling, general, and administrative expenses on the Company's Statements of Operations and Comprehensive Loss for the year ended December 31, 2025. The current liability was recorded within Accounts payable and the non-current liability was recorded within Other non-current liabilities on the Company's Balance Sheets as of December 31, 2025.</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Neurelis FDA Lawsuit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Neurelis, Inc. v. Califf,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u w:val="single" w:color="auto"/>
          <w:color w:val="auto"/>
        </w:rPr>
        <w:t>et al</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U.S. District Court for the District of Columbia</w:t>
      </w:r>
    </w:p>
    <w:p>
      <w:pPr>
        <w:spacing w:after="0" w:line="85"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4"/>
          <w:szCs w:val="14"/>
          <w:color w:val="auto"/>
        </w:rPr>
        <w:t>In May 2024, Neurelis filed a complaint in the U.S. District Court for the District of Columbia against the U.S. Food and Drug Administration, the U.S. Department of Health and Human Services, and certain government officials. The complaint in this matter alleges that the defendants violated the Administrative Procedure Act by approving the Company's NDA for Libervant for ARS patients aged between two and five years, and asked the Court to vacate that approval and enjoin the defendants from approving Libervant for this pediatric patient population until January 10, 2027, the scheduled date for the expiration of the U.S. orphan drug market exclusivity (ODE) granted by the FDA to the Valtoco nasal spray product of Neurelis (the "ODE Expiration"). The Company intervened in this litigation to defend the approval of Libervant for this ARS pediatric patient population. Following submission of briefs and filings of respective motions by the parties for summary judgment, on February 14, 2025, the Court entered a final appealable judgment in favor of Neurelis, and against the FDA's and the Company's cross-motions for summary judgment, and directed the FDA to vacate the approval of Libervant. On February 18, 2025, the Company filed an appeal of the District Court's decision with the U.S. Circuit Court of Appeals for the District of Columbia (the "DC Appellate Court") and, on the same day, filed an emergency motion with the District Court to stay its order pending a decision on the appeal with the DC Appellate Court. The District Court denied the motion for a stay. On March 27, 2025, the DC Appellate Court denied the Company's emergency motion for stay. The FDA filed an appeal of the District Court's decision to the DC Appellate Court and the Company withdrew its appeal. As a result of the District Court's ruling, the FDA converted the approval of Libervant to a "tentative approval" and the Company has ceased marketing activities in the United States. After a delay of the proceedings at the DC Appellate Court caused by the government shutdown beginning in October 2025, on November 21, 2025, the DC Appellate Court entered a schedule for briefing and oral arguments on the appeal. Subsequently, on February 3, 2026, Congress adopted and the President signed into law legislation that amended the Orphan Drug Act to provide that ODE applies only to the extent a subsequent applicant seeks approval for the same approved use or indication within the designated rare disease or condition to which the ODE applies. As applied, this legislation would confirm the FDA's long-standing interpretation of the Orphan Drug Act and its authority to approve another sponsor’s orphan drug for a different use or indication than that of an approved drug with ODE, such as the FDA's prior approval of Libervant for ARS patients aged between two and five years. On February 16, 2026, the Company filed a motion with the DC Appellate Court requesting that the DC Appellate Court order all parties to submit simultaneous briefs regarding appropriate next steps regarding this legislation and its intended application to this case, including the possibility of a summary disposition of the matter by the DC Appellate Court. On February 18, 2026, Neurelis filed a brief opposing the Company's motion. On the DC Appellate Court's own motion filed on February 17, 2026, the DC Appellate Court suspended briefing by the parties in this case pending further order from the court. On March 2, 2026, the DC Appellate Court entered an order directing the parties to address their positions on the effect on the appeal resulting from the amendment to the Orphan Drug Act recently enacted by March 20, 2026. The Company is not able to determine or predict the ultimate outcome of these proceedings or provide a reasonable estimate or range of estimates of the possible outcome or loss, if any, in this matter or whether the FDA will grant U.S. market access to Libervant for ARS patients aged between two and five years in advance of the ODE Expiration.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Suboxone Product Liability Litigation</w:t>
      </w:r>
    </w:p>
    <w:p>
      <w:pPr>
        <w:spacing w:after="0" w:line="9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The Company was named as a defendant in a multitude of product liability lawsuits, along with Indivior and several other named defendants, in which the individual plaintiffs in those cases allege that their use of Suboxone® Sublingual Film, a prescription drug product for opioid use disorder, caused them dental injuries. On February 2, 2024, this litigation became a Multidistrict Litigation (“MDL") consolidated in the U.S District Court for the Northern District of Ohio. One case alleging the same allegations as contained in the MDL has been filed in a state court in the State of New Jersey. The parties to the MDL have agreed to a tolling of unfiled claimants in several states. Indivior has agreed to defend the Company in these litigation matters. Discovery is underway and no trial date has been set in the MDL matter. The Company's motion to dismiss the MDL matter was granted as to all claims against Aquestive by plaintiffs except design defect claims and claims for punitive damages. The Company is not able to determine or predict the ultimate outcome of this litigation or provide a reasonable estimate or range of estimates of the possible outcome or loss, if any, in this matter.</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23" w:name="page124"/>
    <w:bookmarkEnd w:id="123"/>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The Company was named as a defendant in three proposed class action lawsuits filed in Canada, along with Indivior and several other named defendants, in which the individual plaintiffs in those cases allege that their use of Suboxone® products caused them dental injuries. Two of these cases have been filed in British Columbia, and the plaintiffs in those cases are seeking assignment of a case management judge. The anticipated next step in British Columbia will involve applications by the plaintiffs to determine which of the two cases will proceed towards a certification hearing and which will be stayed. The third case has been filed in Quebec and is proceeding towards an authorization hearing, the date of which has not yet been set. The authorization and certification hearings will determine whether the Courts will allow the cases to proceed as class actions. Pre-discovery and case management proceedings are underway and no trial date has yet been set. Given the early stages of these proceedings, the Company is not able to determine or predict the ultimate outcome of this litigation or provide a reasonable estimate or range of estimates of the possible outcome or loss, if any, in this litigation.</w:t>
      </w:r>
    </w:p>
    <w:p>
      <w:pPr>
        <w:spacing w:after="0" w:line="6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Note 24.</w:t>
        <w:tab/>
        <w:t>Subsequent Events</w:t>
      </w:r>
    </w:p>
    <w:p>
      <w:pPr>
        <w:spacing w:after="0" w:line="9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On January 30, 2026, the Company received a CRL from the FDA for the NDA seeking approval of Anaphylm (dibutepinephrine) sublingual film for the treatment of Type I allergic reactions, including anaphylaxis, in patients weighing 33kg or more (approximately 66 pounds) that focused on administration and labeling guidance. The FDA cited deficiencies in the Anaphylm HF validation study including instances of difficulty opening the pouch and incorrect film placement which, if unaddressed, the FDA believes could cause significant safety issues in the setting of anaphylaxis. To resolve the FDA’s concerns, the Company has modified the pouch opening, instructions for use, pouch and carton labeling, and plans to conduct a new HF validation study with these modifications. Due to the requirements related to HF, FDA's clinical pharmacology division requested a single PK study to understand the impact of any modifications to packaging and labeling. The Agency indicated that the HF and PK studies can be conducted in parallel. No additional studies were requested in the CRL. The Company also plans to further address potential tolerability issues in its resubmission. The CRL did not identify any chemistry, manufacturing, or controls (CMC) deficiencies, and clinical results submitted as part of the NDA regarding comparability to auto-injectors (such as EpiPen</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Auvi-Q</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such as bracketing, repeat dose, and sustainability, were not questioned.</w:t>
      </w:r>
    </w:p>
    <w:p>
      <w:pPr>
        <w:spacing w:after="0" w:line="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On March 3, 2026, the Company entered into Amendment No. 1 to the Purchase and Sale Agreement, dated August 13, 2025, with funds managed by RTW. The Amendment extends the Marketing Approval Deadline for Anaphylm from its original date to June 30, 2027. Concurrently, the Company entered into a Warrant Issuance Agreement with funds managed by RTW, pursuant to which the Company agreed to issue a warrant to such funds to purchase up to 375,000 shares of the Company's Common Stock at an exercise price of $4.00 per share, expiring on March 3, 2029. On March 3 2026, the Company also entered into a Share Purchase Commitment Agreement with certain RTW-affiliated funds, pursuant to which such funds committed to purchase, in the aggregate, not less than $5.0 million of Common Stock during the 90-day period following the effective date of the agreement, at prices determined in accordance with Rule 415(a)(4)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F-38</w:t>
      </w:r>
    </w:p>
    <w:p>
      <w:pPr>
        <w:sectPr>
          <w:pgSz w:w="11900" w:h="16838" w:orient="portrait"/>
          <w:cols w:equalWidth="0" w:num="1">
            <w:col w:w="11280"/>
          </w:cols>
          <w:pgMar w:left="300" w:top="729" w:right="319" w:bottom="1440"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consent to the incorporation by reference in the registration statements (No. 333-226399, 333-251984, 333-262051, 333-269292, 333-273857, 333-277015, 333-284490 and 333-292859) on Form S-8 and (No. 333-274609 and 333-278498) on Form S-3 of our report dated March 4, 2026, with respect to the financial statements of Aquestive Therapeutics, Inc.</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KPMG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Short Hills, New Jersey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4, 2026</w:t>
      </w:r>
    </w:p>
    <w:p>
      <w:pPr>
        <w:sectPr>
          <w:pgSz w:w="11900" w:h="16838" w:orient="portrait"/>
          <w:cols w:equalWidth="0" w:num="1">
            <w:col w:w="11280"/>
          </w:cols>
          <w:pgMar w:left="300" w:top="1131" w:right="31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3"/>
          <w:szCs w:val="13"/>
          <w:b w:val="1"/>
          <w:bCs w:val="1"/>
          <w:color w:val="auto"/>
        </w:rPr>
        <w:t>Exhibit 31.1</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of Principal Executive Officer of Aquestive Therapeutics,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I, </w:t>
      </w:r>
      <w:r>
        <w:rPr>
          <w:rFonts w:ascii="Times New Roman" w:cs="Times New Roman" w:eastAsia="Times New Roman" w:hAnsi="Times New Roman"/>
          <w:sz w:val="14"/>
          <w:szCs w:val="14"/>
          <w:color w:val="auto"/>
        </w:rPr>
        <w:t>Daniel Barber</w:t>
      </w:r>
      <w:r>
        <w:rPr>
          <w:rFonts w:ascii="Times New Roman" w:cs="Times New Roman" w:eastAsia="Times New Roman" w:hAnsi="Times New Roman"/>
          <w:sz w:val="13"/>
          <w:szCs w:val="13"/>
          <w:color w:val="auto"/>
        </w:rPr>
        <w:t>, certify that:</w:t>
      </w:r>
    </w:p>
    <w:p>
      <w:pPr>
        <w:spacing w:after="0" w:line="204" w:lineRule="exact"/>
        <w:rPr>
          <w:sz w:val="20"/>
          <w:szCs w:val="20"/>
          <w:color w:val="auto"/>
        </w:rPr>
      </w:pPr>
    </w:p>
    <w:p>
      <w:pPr>
        <w:ind w:left="380" w:hanging="375"/>
        <w:spacing w:after="0"/>
        <w:tabs>
          <w:tab w:leader="none" w:pos="3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10-K of Aquestive Therapeutics, Inc.;</w:t>
      </w:r>
    </w:p>
    <w:p>
      <w:pPr>
        <w:spacing w:after="0" w:line="200" w:lineRule="exact"/>
        <w:rPr>
          <w:rFonts w:ascii="Times New Roman" w:cs="Times New Roman" w:eastAsia="Times New Roman" w:hAnsi="Times New Roman"/>
          <w:sz w:val="13"/>
          <w:szCs w:val="13"/>
          <w:color w:val="auto"/>
        </w:rPr>
      </w:pPr>
    </w:p>
    <w:p>
      <w:pPr>
        <w:ind w:left="380" w:hanging="375"/>
        <w:spacing w:after="0" w:line="264" w:lineRule="auto"/>
        <w:tabs>
          <w:tab w:leader="none" w:pos="3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9" w:lineRule="exact"/>
        <w:rPr>
          <w:rFonts w:ascii="Times New Roman" w:cs="Times New Roman" w:eastAsia="Times New Roman" w:hAnsi="Times New Roman"/>
          <w:sz w:val="13"/>
          <w:szCs w:val="13"/>
          <w:color w:val="auto"/>
        </w:rPr>
      </w:pPr>
    </w:p>
    <w:p>
      <w:pPr>
        <w:ind w:left="380" w:hanging="375"/>
        <w:spacing w:after="0" w:line="281" w:lineRule="auto"/>
        <w:tabs>
          <w:tab w:leader="none" w:pos="3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3"/>
          <w:szCs w:val="13"/>
          <w:color w:val="auto"/>
        </w:rPr>
      </w:pPr>
    </w:p>
    <w:p>
      <w:pPr>
        <w:ind w:left="380" w:hanging="375"/>
        <w:spacing w:after="0" w:line="281" w:lineRule="auto"/>
        <w:tabs>
          <w:tab w:leader="none" w:pos="3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3"/>
          <w:szCs w:val="13"/>
          <w:color w:val="auto"/>
        </w:rPr>
      </w:pPr>
    </w:p>
    <w:p>
      <w:pPr>
        <w:ind w:left="760" w:hanging="373"/>
        <w:spacing w:after="0" w:line="264" w:lineRule="auto"/>
        <w:tabs>
          <w:tab w:leader="none" w:pos="753" w:val="left"/>
        </w:tabs>
        <w:numPr>
          <w:ilvl w:val="1"/>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3"/>
          <w:szCs w:val="13"/>
          <w:color w:val="auto"/>
        </w:rPr>
      </w:pPr>
    </w:p>
    <w:p>
      <w:pPr>
        <w:ind w:left="760" w:hanging="373"/>
        <w:spacing w:after="0" w:line="264" w:lineRule="auto"/>
        <w:tabs>
          <w:tab w:leader="none" w:pos="760" w:val="left"/>
        </w:tabs>
        <w:numPr>
          <w:ilvl w:val="1"/>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Times New Roman" w:cs="Times New Roman" w:eastAsia="Times New Roman" w:hAnsi="Times New Roman"/>
          <w:sz w:val="13"/>
          <w:szCs w:val="13"/>
          <w:color w:val="auto"/>
        </w:rPr>
      </w:pPr>
    </w:p>
    <w:p>
      <w:pPr>
        <w:ind w:left="760" w:hanging="373"/>
        <w:spacing w:after="0" w:line="281" w:lineRule="auto"/>
        <w:tabs>
          <w:tab w:leader="none" w:pos="753" w:val="left"/>
        </w:tabs>
        <w:numPr>
          <w:ilvl w:val="1"/>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3"/>
          <w:szCs w:val="13"/>
          <w:color w:val="auto"/>
        </w:rPr>
      </w:pPr>
    </w:p>
    <w:p>
      <w:pPr>
        <w:ind w:left="760" w:hanging="373"/>
        <w:spacing w:after="0" w:line="281" w:lineRule="auto"/>
        <w:tabs>
          <w:tab w:leader="none" w:pos="760" w:val="left"/>
        </w:tabs>
        <w:numPr>
          <w:ilvl w:val="1"/>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3"/>
          <w:szCs w:val="13"/>
          <w:color w:val="auto"/>
        </w:rPr>
      </w:pPr>
    </w:p>
    <w:p>
      <w:pPr>
        <w:ind w:left="380" w:hanging="375"/>
        <w:spacing w:after="0" w:line="264" w:lineRule="auto"/>
        <w:tabs>
          <w:tab w:leader="none" w:pos="3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Times New Roman" w:cs="Times New Roman" w:eastAsia="Times New Roman" w:hAnsi="Times New Roman"/>
          <w:sz w:val="13"/>
          <w:szCs w:val="13"/>
          <w:color w:val="auto"/>
        </w:rPr>
      </w:pPr>
    </w:p>
    <w:p>
      <w:pPr>
        <w:ind w:left="760" w:hanging="373"/>
        <w:spacing w:after="0" w:line="264" w:lineRule="auto"/>
        <w:tabs>
          <w:tab w:leader="none" w:pos="753" w:val="left"/>
        </w:tabs>
        <w:numPr>
          <w:ilvl w:val="1"/>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Times New Roman" w:cs="Times New Roman" w:eastAsia="Times New Roman" w:hAnsi="Times New Roman"/>
          <w:sz w:val="13"/>
          <w:szCs w:val="13"/>
          <w:color w:val="auto"/>
        </w:rPr>
      </w:pPr>
    </w:p>
    <w:p>
      <w:pPr>
        <w:ind w:left="760" w:hanging="373"/>
        <w:spacing w:after="0"/>
        <w:tabs>
          <w:tab w:leader="none" w:pos="760" w:val="left"/>
        </w:tabs>
        <w:numPr>
          <w:ilvl w:val="1"/>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Date: March 4, 2026</w:t>
      </w:r>
    </w:p>
    <w:p>
      <w:pPr>
        <w:spacing w:after="0" w:line="1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/s/ Daniel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12700</wp:posOffset>
            </wp:positionV>
            <wp:extent cx="3564255" cy="133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1">
                      <a:extLst>
                        <a:ext uri="{28A0092B-C50C-407E-A947-70E740481C1C}"/>
                      </a:extLst>
                    </a:blip>
                    <a:srcRect/>
                    <a:stretch>
                      <a:fillRect/>
                    </a:stretch>
                  </pic:blipFill>
                  <pic:spPr bwMode="auto">
                    <a:xfrm>
                      <a:off x="0" y="0"/>
                      <a:ext cx="3564255" cy="13335"/>
                    </a:xfrm>
                    <a:prstGeom prst="rect">
                      <a:avLst/>
                    </a:prstGeom>
                    <a:noFill/>
                  </pic:spPr>
                </pic:pic>
              </a:graphicData>
            </a:graphic>
          </wp:anchor>
        </w:drawing>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Daniel Barber</w:t>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i w:val="1"/>
          <w:iCs w:val="1"/>
          <w:color w:val="auto"/>
        </w:rPr>
        <w:t>President and Chief Executive Officer</w:t>
      </w:r>
    </w:p>
    <w:p>
      <w:pPr>
        <w:spacing w:after="0" w:line="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i w:val="1"/>
          <w:iCs w:val="1"/>
          <w:color w:val="auto"/>
        </w:rPr>
        <w:t>(Principal Executive Officer)</w:t>
      </w:r>
    </w:p>
    <w:p>
      <w:pPr>
        <w:sectPr>
          <w:pgSz w:w="11900" w:h="16838" w:orient="portrait"/>
          <w:cols w:equalWidth="0" w:num="1">
            <w:col w:w="11280"/>
          </w:cols>
          <w:pgMar w:left="300" w:top="731" w:right="31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3"/>
          <w:szCs w:val="13"/>
          <w:b w:val="1"/>
          <w:bCs w:val="1"/>
          <w:color w:val="auto"/>
        </w:rPr>
        <w:t>Exhibit 31.2</w:t>
      </w:r>
    </w:p>
    <w:p>
      <w:pPr>
        <w:spacing w:after="0" w:line="19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3"/>
          <w:szCs w:val="13"/>
          <w:b w:val="1"/>
          <w:bCs w:val="1"/>
          <w:color w:val="auto"/>
        </w:rPr>
        <w:t>Certification of Principal</w:t>
      </w:r>
    </w:p>
    <w:p>
      <w:pPr>
        <w:spacing w:after="0" w:line="1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3"/>
          <w:szCs w:val="13"/>
          <w:b w:val="1"/>
          <w:bCs w:val="1"/>
          <w:color w:val="auto"/>
        </w:rPr>
        <w:t>Financial Officer of Aquestive Therapeutics,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 Section 302 of the Sarbanes-Oxley Act of 2002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A. Ernest Toth, Jr., certify that:</w:t>
      </w:r>
    </w:p>
    <w:p>
      <w:pPr>
        <w:spacing w:after="0" w:line="190" w:lineRule="exact"/>
        <w:rPr>
          <w:sz w:val="20"/>
          <w:szCs w:val="20"/>
          <w:color w:val="auto"/>
        </w:rPr>
      </w:pPr>
    </w:p>
    <w:p>
      <w:pPr>
        <w:ind w:left="380" w:hanging="375"/>
        <w:spacing w:after="0"/>
        <w:tabs>
          <w:tab w:leader="none" w:pos="38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10-K of Aquestive Therapeutics, Inc.;</w:t>
      </w:r>
    </w:p>
    <w:p>
      <w:pPr>
        <w:spacing w:after="0" w:line="190" w:lineRule="exact"/>
        <w:rPr>
          <w:rFonts w:ascii="Times New Roman" w:cs="Times New Roman" w:eastAsia="Times New Roman" w:hAnsi="Times New Roman"/>
          <w:sz w:val="13"/>
          <w:szCs w:val="13"/>
          <w:color w:val="auto"/>
        </w:rPr>
      </w:pPr>
    </w:p>
    <w:p>
      <w:pPr>
        <w:ind w:left="380" w:hanging="375"/>
        <w:spacing w:after="0" w:line="281" w:lineRule="auto"/>
        <w:tabs>
          <w:tab w:leader="none" w:pos="38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3"/>
          <w:szCs w:val="13"/>
          <w:color w:val="auto"/>
        </w:rPr>
      </w:pPr>
    </w:p>
    <w:p>
      <w:pPr>
        <w:ind w:left="380" w:hanging="375"/>
        <w:spacing w:after="0" w:line="281" w:lineRule="auto"/>
        <w:tabs>
          <w:tab w:leader="none" w:pos="38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3"/>
          <w:szCs w:val="13"/>
          <w:color w:val="auto"/>
        </w:rPr>
      </w:pPr>
    </w:p>
    <w:p>
      <w:pPr>
        <w:ind w:left="380" w:hanging="375"/>
        <w:spacing w:after="0" w:line="264" w:lineRule="auto"/>
        <w:tabs>
          <w:tab w:leader="none" w:pos="38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0" w:lineRule="exact"/>
        <w:rPr>
          <w:rFonts w:ascii="Times New Roman" w:cs="Times New Roman" w:eastAsia="Times New Roman" w:hAnsi="Times New Roman"/>
          <w:sz w:val="13"/>
          <w:szCs w:val="13"/>
          <w:color w:val="auto"/>
        </w:rPr>
      </w:pPr>
    </w:p>
    <w:p>
      <w:pPr>
        <w:ind w:left="760" w:hanging="373"/>
        <w:spacing w:after="0" w:line="264" w:lineRule="auto"/>
        <w:tabs>
          <w:tab w:leader="none" w:pos="753" w:val="left"/>
        </w:tabs>
        <w:numPr>
          <w:ilvl w:val="1"/>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Times New Roman" w:cs="Times New Roman" w:eastAsia="Times New Roman" w:hAnsi="Times New Roman"/>
          <w:sz w:val="13"/>
          <w:szCs w:val="13"/>
          <w:color w:val="auto"/>
        </w:rPr>
      </w:pPr>
    </w:p>
    <w:p>
      <w:pPr>
        <w:ind w:left="760" w:hanging="373"/>
        <w:spacing w:after="0" w:line="281" w:lineRule="auto"/>
        <w:tabs>
          <w:tab w:leader="none" w:pos="760" w:val="left"/>
        </w:tabs>
        <w:numPr>
          <w:ilvl w:val="1"/>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3"/>
          <w:szCs w:val="13"/>
          <w:color w:val="auto"/>
        </w:rPr>
      </w:pPr>
    </w:p>
    <w:p>
      <w:pPr>
        <w:ind w:left="760" w:hanging="373"/>
        <w:spacing w:after="0" w:line="281" w:lineRule="auto"/>
        <w:tabs>
          <w:tab w:leader="none" w:pos="753" w:val="left"/>
        </w:tabs>
        <w:numPr>
          <w:ilvl w:val="1"/>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3"/>
          <w:szCs w:val="13"/>
          <w:color w:val="auto"/>
        </w:rPr>
      </w:pPr>
    </w:p>
    <w:p>
      <w:pPr>
        <w:ind w:left="760" w:hanging="373"/>
        <w:spacing w:after="0" w:line="264" w:lineRule="auto"/>
        <w:tabs>
          <w:tab w:leader="none" w:pos="760" w:val="left"/>
        </w:tabs>
        <w:numPr>
          <w:ilvl w:val="1"/>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3"/>
          <w:szCs w:val="13"/>
          <w:color w:val="auto"/>
        </w:rPr>
      </w:pPr>
    </w:p>
    <w:p>
      <w:pPr>
        <w:ind w:left="380" w:hanging="375"/>
        <w:spacing w:after="0" w:line="264" w:lineRule="auto"/>
        <w:tabs>
          <w:tab w:leader="none" w:pos="38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Times New Roman" w:cs="Times New Roman" w:eastAsia="Times New Roman" w:hAnsi="Times New Roman"/>
          <w:sz w:val="13"/>
          <w:szCs w:val="13"/>
          <w:color w:val="auto"/>
        </w:rPr>
      </w:pPr>
    </w:p>
    <w:p>
      <w:pPr>
        <w:ind w:left="760" w:hanging="373"/>
        <w:spacing w:after="0" w:line="264" w:lineRule="auto"/>
        <w:tabs>
          <w:tab w:leader="none" w:pos="753" w:val="left"/>
        </w:tabs>
        <w:numPr>
          <w:ilvl w:val="1"/>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Times New Roman" w:cs="Times New Roman" w:eastAsia="Times New Roman" w:hAnsi="Times New Roman"/>
          <w:sz w:val="13"/>
          <w:szCs w:val="13"/>
          <w:color w:val="auto"/>
        </w:rPr>
      </w:pPr>
    </w:p>
    <w:p>
      <w:pPr>
        <w:ind w:left="760" w:hanging="373"/>
        <w:spacing w:after="0"/>
        <w:tabs>
          <w:tab w:leader="none" w:pos="760" w:val="left"/>
        </w:tabs>
        <w:numPr>
          <w:ilvl w:val="1"/>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Date: March 4, 2026</w:t>
      </w:r>
    </w:p>
    <w:p>
      <w:pPr>
        <w:spacing w:after="0" w:line="1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/s/ A. ERNEST TOTH,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12700</wp:posOffset>
            </wp:positionV>
            <wp:extent cx="3564255" cy="133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2">
                      <a:extLst>
                        <a:ext uri="{28A0092B-C50C-407E-A947-70E740481C1C}"/>
                      </a:extLst>
                    </a:blip>
                    <a:srcRect/>
                    <a:stretch>
                      <a:fillRect/>
                    </a:stretch>
                  </pic:blipFill>
                  <pic:spPr bwMode="auto">
                    <a:xfrm>
                      <a:off x="0" y="0"/>
                      <a:ext cx="3564255" cy="13335"/>
                    </a:xfrm>
                    <a:prstGeom prst="rect">
                      <a:avLst/>
                    </a:prstGeom>
                    <a:noFill/>
                  </pic:spPr>
                </pic:pic>
              </a:graphicData>
            </a:graphic>
          </wp:anchor>
        </w:drawing>
      </w:r>
    </w:p>
    <w:p>
      <w:pPr>
        <w:spacing w:after="0" w:line="21" w:lineRule="exact"/>
        <w:rPr>
          <w:sz w:val="20"/>
          <w:szCs w:val="20"/>
          <w:color w:val="auto"/>
        </w:rPr>
      </w:pPr>
    </w:p>
    <w:p>
      <w:pPr>
        <w:ind w:left="5900"/>
        <w:spacing w:after="0"/>
        <w:tabs>
          <w:tab w:leader="none" w:pos="6120" w:val="left"/>
        </w:tabs>
        <w:rPr>
          <w:sz w:val="20"/>
          <w:szCs w:val="20"/>
          <w:color w:val="auto"/>
        </w:rPr>
      </w:pPr>
      <w:r>
        <w:rPr>
          <w:rFonts w:ascii="Times New Roman" w:cs="Times New Roman" w:eastAsia="Times New Roman" w:hAnsi="Times New Roman"/>
          <w:sz w:val="13"/>
          <w:szCs w:val="13"/>
          <w:color w:val="auto"/>
        </w:rPr>
        <w:t>A.</w:t>
      </w:r>
      <w:r>
        <w:rPr>
          <w:sz w:val="20"/>
          <w:szCs w:val="20"/>
          <w:color w:val="auto"/>
        </w:rPr>
        <w:tab/>
      </w:r>
      <w:r>
        <w:rPr>
          <w:rFonts w:ascii="Times New Roman" w:cs="Times New Roman" w:eastAsia="Times New Roman" w:hAnsi="Times New Roman"/>
          <w:sz w:val="12"/>
          <w:szCs w:val="12"/>
          <w:color w:val="auto"/>
        </w:rPr>
        <w:t>Ernest Toth, Jr.</w:t>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i w:val="1"/>
          <w:iCs w:val="1"/>
          <w:color w:val="auto"/>
        </w:rPr>
        <w:t>Chief Financial Officer</w:t>
      </w:r>
    </w:p>
    <w:p>
      <w:pPr>
        <w:spacing w:after="0" w:line="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i w:val="1"/>
          <w:iCs w:val="1"/>
          <w:color w:val="auto"/>
        </w:rPr>
        <w:t>(Principal Financial Officer)</w:t>
      </w:r>
    </w:p>
    <w:p>
      <w:pPr>
        <w:sectPr>
          <w:pgSz w:w="11900" w:h="16838" w:orient="portrait"/>
          <w:cols w:equalWidth="0" w:num="1">
            <w:col w:w="11280"/>
          </w:cols>
          <w:pgMar w:left="300" w:top="731" w:right="31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3"/>
          <w:szCs w:val="13"/>
          <w:b w:val="1"/>
          <w:bCs w:val="1"/>
          <w:color w:val="auto"/>
        </w:rPr>
        <w:t>Exhibit 32.1</w:t>
      </w:r>
    </w:p>
    <w:p>
      <w:pPr>
        <w:spacing w:after="0" w:line="19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3"/>
          <w:szCs w:val="13"/>
          <w:b w:val="1"/>
          <w:bCs w:val="1"/>
          <w:color w:val="auto"/>
        </w:rPr>
        <w:t>Certification of Principal Executive Officer</w:t>
      </w:r>
    </w:p>
    <w:p>
      <w:pPr>
        <w:spacing w:after="0" w:line="1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3"/>
          <w:szCs w:val="13"/>
          <w:b w:val="1"/>
          <w:bCs w:val="1"/>
          <w:color w:val="auto"/>
        </w:rPr>
        <w:t>Pursuant to 18 U.S.C. Section 1350, as Adopted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 Section 906 of the Sarbanes-Oxley Act of 2002</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Pursuant to the requirement set forth in Rule 13a-14(b) of the Securities Exchange Act of 1934, as amended (the “Exchange Act”), and Section 1350 of Chapter 63 of Title 18 of the United States Code (18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§1350), I, </w:t>
      </w:r>
      <w:r>
        <w:rPr>
          <w:rFonts w:ascii="Times New Roman" w:cs="Times New Roman" w:eastAsia="Times New Roman" w:hAnsi="Times New Roman"/>
          <w:sz w:val="14"/>
          <w:szCs w:val="14"/>
          <w:color w:val="auto"/>
        </w:rPr>
        <w:t>Daniel Barber</w:t>
      </w:r>
      <w:r>
        <w:rPr>
          <w:rFonts w:ascii="Times New Roman" w:cs="Times New Roman" w:eastAsia="Times New Roman" w:hAnsi="Times New Roman"/>
          <w:sz w:val="13"/>
          <w:szCs w:val="13"/>
          <w:color w:val="auto"/>
        </w:rPr>
        <w:t>, Chief Executive Officer of Aquestive Therapeutics, Inc., (the “Company”), hereby certify that, to the best of my knowledge:</w:t>
      </w:r>
    </w:p>
    <w:p>
      <w:pPr>
        <w:spacing w:after="0" w:line="179" w:lineRule="exact"/>
        <w:rPr>
          <w:sz w:val="20"/>
          <w:szCs w:val="20"/>
          <w:color w:val="auto"/>
        </w:rPr>
      </w:pPr>
    </w:p>
    <w:p>
      <w:pPr>
        <w:ind w:left="640" w:hanging="380"/>
        <w:spacing w:after="0" w:line="286" w:lineRule="auto"/>
        <w:tabs>
          <w:tab w:leader="none" w:pos="64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Company’s Annual Report on Form 10-K for the </w:t>
      </w:r>
      <w:r>
        <w:rPr>
          <w:rFonts w:ascii="Times New Roman" w:cs="Times New Roman" w:eastAsia="Times New Roman" w:hAnsi="Times New Roman"/>
          <w:sz w:val="14"/>
          <w:szCs w:val="14"/>
          <w:color w:val="auto"/>
        </w:rPr>
        <w:t>year ended December 31, 2025</w:t>
      </w:r>
      <w:r>
        <w:rPr>
          <w:rFonts w:ascii="Times New Roman" w:cs="Times New Roman" w:eastAsia="Times New Roman" w:hAnsi="Times New Roman"/>
          <w:sz w:val="13"/>
          <w:szCs w:val="13"/>
          <w:color w:val="auto"/>
        </w:rPr>
        <w:t>, to which this Certification is attached as Exhibit 32.1 (the “Annual Report”), fully complies with the requirements of Section 13(a) or Section 15(d) of the Exchange Act; and</w:t>
      </w:r>
    </w:p>
    <w:p>
      <w:pPr>
        <w:spacing w:after="0" w:line="143" w:lineRule="exact"/>
        <w:rPr>
          <w:rFonts w:ascii="Times New Roman" w:cs="Times New Roman" w:eastAsia="Times New Roman" w:hAnsi="Times New Roman"/>
          <w:sz w:val="13"/>
          <w:szCs w:val="13"/>
          <w:color w:val="auto"/>
        </w:rPr>
      </w:pPr>
    </w:p>
    <w:p>
      <w:pPr>
        <w:ind w:left="640" w:hanging="380"/>
        <w:spacing w:after="0" w:line="281" w:lineRule="auto"/>
        <w:tabs>
          <w:tab w:leader="none" w:pos="64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Annual Report fairly presents, in all material respects, the financial condition of the Company at the end of the period covered by the Annual Report and the results of operations of the Company for the period covered by the Annual Report.</w:t>
      </w: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Date: March 4, 2026</w:t>
      </w:r>
    </w:p>
    <w:p>
      <w:pPr>
        <w:spacing w:after="0" w:line="1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/s/ Daniel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12700</wp:posOffset>
            </wp:positionV>
            <wp:extent cx="3564255" cy="133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3">
                      <a:extLst>
                        <a:ext uri="{28A0092B-C50C-407E-A947-70E740481C1C}"/>
                      </a:extLst>
                    </a:blip>
                    <a:srcRect/>
                    <a:stretch>
                      <a:fillRect/>
                    </a:stretch>
                  </pic:blipFill>
                  <pic:spPr bwMode="auto">
                    <a:xfrm>
                      <a:off x="0" y="0"/>
                      <a:ext cx="3564255" cy="13335"/>
                    </a:xfrm>
                    <a:prstGeom prst="rect">
                      <a:avLst/>
                    </a:prstGeom>
                    <a:noFill/>
                  </pic:spPr>
                </pic:pic>
              </a:graphicData>
            </a:graphic>
          </wp:anchor>
        </w:drawing>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Daniel Barber</w:t>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i w:val="1"/>
          <w:iCs w:val="1"/>
          <w:color w:val="auto"/>
        </w:rPr>
        <w:t>President and Chief Executive Officer</w:t>
      </w:r>
    </w:p>
    <w:p>
      <w:pPr>
        <w:spacing w:after="0" w:line="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i w:val="1"/>
          <w:iCs w:val="1"/>
          <w:color w:val="auto"/>
        </w:rPr>
        <w:t>(Principal Executive Officer)</w:t>
      </w:r>
    </w:p>
    <w:p>
      <w:pPr>
        <w:spacing w:after="0" w:line="26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3"/>
          <w:szCs w:val="13"/>
          <w:color w:val="auto"/>
        </w:rPr>
        <w:t>This certification accompanies the Form 10-K to which it relates, is not deemed filed with the Securities and Exchange Commission and is not to be incorporated by reference into any filing of Aquestive Therapeutics, Inc. under the Securities Act of 1933, as amended, or the Securities Exchange Act of 1934, as amended (whether made before or after the date of the Form 10-K), irrespective of any general incorporation language contained in such filing.</w:t>
      </w:r>
    </w:p>
    <w:p>
      <w:pPr>
        <w:sectPr>
          <w:pgSz w:w="11900" w:h="16838" w:orient="portrait"/>
          <w:cols w:equalWidth="0" w:num="1">
            <w:col w:w="11280"/>
          </w:cols>
          <w:pgMar w:left="300" w:top="731" w:right="31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3"/>
          <w:szCs w:val="13"/>
          <w:b w:val="1"/>
          <w:bCs w:val="1"/>
          <w:color w:val="auto"/>
        </w:rPr>
        <w:t>Exhibit 32.2</w:t>
      </w:r>
    </w:p>
    <w:p>
      <w:pPr>
        <w:spacing w:after="0" w:line="19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3"/>
          <w:szCs w:val="13"/>
          <w:b w:val="1"/>
          <w:bCs w:val="1"/>
          <w:color w:val="auto"/>
        </w:rPr>
        <w:t>Certification of Principal Financial Officer</w:t>
      </w:r>
    </w:p>
    <w:p>
      <w:pPr>
        <w:spacing w:after="0" w:line="1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3"/>
          <w:szCs w:val="13"/>
          <w:b w:val="1"/>
          <w:bCs w:val="1"/>
          <w:color w:val="auto"/>
        </w:rPr>
        <w:t>Pursuant to 18 U.S.C. Section 1350, as Adopted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 Section 906 of the Sarbanes-Oxley Act of 2002</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Pursuant to the requirement set forth in Rule 13a-14(b) of the Securities Exchange Act of 1934, as amended (the “Exchange Act”), and Section 1350 of Chapter 63 of Title 18 of the United States Code (18 U.S.C.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§1350), I, A. Ernest Toth, Jr., Chief Financial Officer of Aquestive Therapeutics, Inc., (the “Company”), hereby certify that, to the best of my knowledge:</w:t>
      </w:r>
    </w:p>
    <w:p>
      <w:pPr>
        <w:spacing w:after="0" w:line="172" w:lineRule="exact"/>
        <w:rPr>
          <w:sz w:val="20"/>
          <w:szCs w:val="20"/>
          <w:color w:val="auto"/>
        </w:rPr>
      </w:pPr>
    </w:p>
    <w:p>
      <w:pPr>
        <w:ind w:left="640" w:hanging="380"/>
        <w:spacing w:after="0" w:line="286" w:lineRule="auto"/>
        <w:tabs>
          <w:tab w:leader="none" w:pos="64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Company’s Annual Report on Form 10-K for the </w:t>
      </w:r>
      <w:r>
        <w:rPr>
          <w:rFonts w:ascii="Times New Roman" w:cs="Times New Roman" w:eastAsia="Times New Roman" w:hAnsi="Times New Roman"/>
          <w:sz w:val="14"/>
          <w:szCs w:val="14"/>
          <w:color w:val="auto"/>
        </w:rPr>
        <w:t>year ended December 31, 2025</w:t>
      </w:r>
      <w:r>
        <w:rPr>
          <w:rFonts w:ascii="Times New Roman" w:cs="Times New Roman" w:eastAsia="Times New Roman" w:hAnsi="Times New Roman"/>
          <w:sz w:val="13"/>
          <w:szCs w:val="13"/>
          <w:color w:val="auto"/>
        </w:rPr>
        <w:t>, to which this Certification is attached as Exhibit 32.2 (the “Annual Report”), fully complies with the requirements of Section 13(a) or Section 15(d) of the Exchange Act; and</w:t>
      </w:r>
    </w:p>
    <w:p>
      <w:pPr>
        <w:spacing w:after="0" w:line="153" w:lineRule="exact"/>
        <w:rPr>
          <w:rFonts w:ascii="Times New Roman" w:cs="Times New Roman" w:eastAsia="Times New Roman" w:hAnsi="Times New Roman"/>
          <w:sz w:val="13"/>
          <w:szCs w:val="13"/>
          <w:color w:val="auto"/>
        </w:rPr>
      </w:pPr>
    </w:p>
    <w:p>
      <w:pPr>
        <w:ind w:left="640" w:hanging="380"/>
        <w:spacing w:after="0" w:line="264" w:lineRule="auto"/>
        <w:tabs>
          <w:tab w:leader="none" w:pos="64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Annual Report fairly presents, in all material respects, the financial condition of the Company at the end of the period covered by the Annual Report and the results of operations of the Company for the period covered by the Annual Report.</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Date: March 4, 2026</w:t>
      </w:r>
    </w:p>
    <w:p>
      <w:pPr>
        <w:spacing w:after="0" w:line="1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/s/ A. ERNEST TOTH,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12700</wp:posOffset>
            </wp:positionV>
            <wp:extent cx="3564255" cy="133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4">
                      <a:extLst>
                        <a:ext uri="{28A0092B-C50C-407E-A947-70E740481C1C}"/>
                      </a:extLst>
                    </a:blip>
                    <a:srcRect/>
                    <a:stretch>
                      <a:fillRect/>
                    </a:stretch>
                  </pic:blipFill>
                  <pic:spPr bwMode="auto">
                    <a:xfrm>
                      <a:off x="0" y="0"/>
                      <a:ext cx="3564255" cy="13335"/>
                    </a:xfrm>
                    <a:prstGeom prst="rect">
                      <a:avLst/>
                    </a:prstGeom>
                    <a:noFill/>
                  </pic:spPr>
                </pic:pic>
              </a:graphicData>
            </a:graphic>
          </wp:anchor>
        </w:drawing>
      </w:r>
    </w:p>
    <w:p>
      <w:pPr>
        <w:spacing w:after="0" w:line="21" w:lineRule="exact"/>
        <w:rPr>
          <w:sz w:val="20"/>
          <w:szCs w:val="20"/>
          <w:color w:val="auto"/>
        </w:rPr>
      </w:pPr>
    </w:p>
    <w:p>
      <w:pPr>
        <w:ind w:left="5900"/>
        <w:spacing w:after="0"/>
        <w:tabs>
          <w:tab w:leader="none" w:pos="6120" w:val="left"/>
        </w:tabs>
        <w:rPr>
          <w:sz w:val="20"/>
          <w:szCs w:val="20"/>
          <w:color w:val="auto"/>
        </w:rPr>
      </w:pPr>
      <w:r>
        <w:rPr>
          <w:rFonts w:ascii="Times New Roman" w:cs="Times New Roman" w:eastAsia="Times New Roman" w:hAnsi="Times New Roman"/>
          <w:sz w:val="13"/>
          <w:szCs w:val="13"/>
          <w:color w:val="auto"/>
        </w:rPr>
        <w:t>A.</w:t>
      </w:r>
      <w:r>
        <w:rPr>
          <w:sz w:val="20"/>
          <w:szCs w:val="20"/>
          <w:color w:val="auto"/>
        </w:rPr>
        <w:tab/>
      </w:r>
      <w:r>
        <w:rPr>
          <w:rFonts w:ascii="Times New Roman" w:cs="Times New Roman" w:eastAsia="Times New Roman" w:hAnsi="Times New Roman"/>
          <w:sz w:val="12"/>
          <w:szCs w:val="12"/>
          <w:color w:val="auto"/>
        </w:rPr>
        <w:t>Ernest Toth, Jr.</w:t>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i w:val="1"/>
          <w:iCs w:val="1"/>
          <w:color w:val="auto"/>
        </w:rPr>
        <w:t>Chief Financial Officer</w:t>
      </w:r>
    </w:p>
    <w:p>
      <w:pPr>
        <w:spacing w:after="0" w:line="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i w:val="1"/>
          <w:iCs w:val="1"/>
          <w:color w:val="auto"/>
        </w:rPr>
        <w:t>(Principal Financial Officer)</w:t>
      </w:r>
    </w:p>
    <w:p>
      <w:pPr>
        <w:spacing w:after="0" w:line="277"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3"/>
          <w:szCs w:val="13"/>
          <w:color w:val="auto"/>
        </w:rPr>
        <w:t>This certification accompanies the Form 10-K to which it relates, is not deemed filed with the Securities and Exchange Commission and is not to be incorporated by reference into any filing of Aquestive Therapeutics,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80"/>
      </w:cols>
      <w:pgMar w:left="300" w:top="73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amp;"/>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1."/>
      <w:numFmt w:val="lowerLetter"/>
      <w:start w:val="1"/>
    </w:lvl>
  </w:abstractNum>
  <w:abstractNum w:abstractNumId="46">
    <w:nsid w:val="749ABB43"/>
    <w:multiLevelType w:val="hybridMultilevel"/>
    <w:lvl w:ilvl="0">
      <w:lvlJc w:val="left"/>
      <w:lvlText w:val="%1."/>
      <w:numFmt w:val="lowerLetter"/>
      <w:start w:val="1"/>
    </w:lvl>
    <w:lvl w:ilvl="1">
      <w:lvlJc w:val="left"/>
      <w:lvlText w:val="%2."/>
      <w:numFmt w:val="lowerRoman"/>
      <w:start w:val="1"/>
    </w:lvl>
  </w:abstractNum>
  <w:abstractNum w:abstractNumId="47">
    <w:nsid w:val="3DC240FB"/>
    <w:multiLevelType w:val="hybridMultilevel"/>
    <w:lvl w:ilvl="0">
      <w:lvlJc w:val="left"/>
      <w:lvlText w:val="%1."/>
      <w:numFmt w:val="lowerLetter"/>
      <w:start w:val="1"/>
    </w:lvl>
  </w:abstractNum>
  <w:abstractNum w:abstractNumId="48">
    <w:nsid w:val="1BA026FA"/>
    <w:multiLevelType w:val="hybridMultilevel"/>
    <w:lvl w:ilvl="0">
      <w:lvlJc w:val="left"/>
      <w:lvlText w:val="(%1)"/>
      <w:numFmt w:val="lowerLetter"/>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31" Type="http://schemas.openxmlformats.org/officeDocument/2006/relationships/image" Target="media/image93.png"/><Relationship Id="rId132" Type="http://schemas.openxmlformats.org/officeDocument/2006/relationships/image" Target="media/image94.png"/><Relationship Id="rId148" Type="http://schemas.openxmlformats.org/officeDocument/2006/relationships/image" Target="media/image95.png"/><Relationship Id="rId149" Type="http://schemas.openxmlformats.org/officeDocument/2006/relationships/image" Target="media/image96.png"/><Relationship Id="rId150" Type="http://schemas.openxmlformats.org/officeDocument/2006/relationships/image" Target="media/image97.png"/><Relationship Id="rId151" Type="http://schemas.openxmlformats.org/officeDocument/2006/relationships/image" Target="media/image98.png"/><Relationship Id="rId152" Type="http://schemas.openxmlformats.org/officeDocument/2006/relationships/image" Target="media/image99.png"/><Relationship Id="rId153" Type="http://schemas.openxmlformats.org/officeDocument/2006/relationships/image" Target="media/image100.png"/><Relationship Id="rId154" Type="http://schemas.openxmlformats.org/officeDocument/2006/relationships/image" Target="media/image101.png"/><Relationship Id="rId155" Type="http://schemas.openxmlformats.org/officeDocument/2006/relationships/image" Target="media/image102.png"/><Relationship Id="rId156" Type="http://schemas.openxmlformats.org/officeDocument/2006/relationships/image" Target="media/image103.png"/><Relationship Id="rId157" Type="http://schemas.openxmlformats.org/officeDocument/2006/relationships/image" Target="media/image104.png"/><Relationship Id="rId158" Type="http://schemas.openxmlformats.org/officeDocument/2006/relationships/image" Target="media/image105.png"/><Relationship Id="rId159" Type="http://schemas.openxmlformats.org/officeDocument/2006/relationships/image" Target="media/image106.png"/><Relationship Id="rId160" Type="http://schemas.openxmlformats.org/officeDocument/2006/relationships/image" Target="media/image107.png"/><Relationship Id="rId161" Type="http://schemas.openxmlformats.org/officeDocument/2006/relationships/image" Target="media/image108.png"/><Relationship Id="rId162" Type="http://schemas.openxmlformats.org/officeDocument/2006/relationships/image" Target="media/image109.png"/><Relationship Id="rId163" Type="http://schemas.openxmlformats.org/officeDocument/2006/relationships/image" Target="media/image110.png"/><Relationship Id="rId164" Type="http://schemas.openxmlformats.org/officeDocument/2006/relationships/image" Target="media/image111.png"/><Relationship Id="rId165" Type="http://schemas.openxmlformats.org/officeDocument/2006/relationships/image" Target="media/image112.png"/><Relationship Id="rId166" Type="http://schemas.openxmlformats.org/officeDocument/2006/relationships/image" Target="media/image113.png"/><Relationship Id="rId167" Type="http://schemas.openxmlformats.org/officeDocument/2006/relationships/image" Target="media/image114.png"/><Relationship Id="rId168" Type="http://schemas.openxmlformats.org/officeDocument/2006/relationships/image" Target="media/image115.png"/><Relationship Id="rId169" Type="http://schemas.openxmlformats.org/officeDocument/2006/relationships/image" Target="media/image116.png"/><Relationship Id="rId170" Type="http://schemas.openxmlformats.org/officeDocument/2006/relationships/image" Target="media/image117.png"/><Relationship Id="rId171" Type="http://schemas.openxmlformats.org/officeDocument/2006/relationships/image" Target="media/image118.png"/><Relationship Id="rId172" Type="http://schemas.openxmlformats.org/officeDocument/2006/relationships/image" Target="media/image119.png"/><Relationship Id="rId173" Type="http://schemas.openxmlformats.org/officeDocument/2006/relationships/image" Target="media/image120.png"/><Relationship Id="rId174" Type="http://schemas.openxmlformats.org/officeDocument/2006/relationships/image" Target="media/image121.png"/><Relationship Id="rId175" Type="http://schemas.openxmlformats.org/officeDocument/2006/relationships/image" Target="media/image122.png"/><Relationship Id="rId176" Type="http://schemas.openxmlformats.org/officeDocument/2006/relationships/image" Target="media/image123.png"/><Relationship Id="rId177" Type="http://schemas.openxmlformats.org/officeDocument/2006/relationships/image" Target="media/image124.png"/><Relationship Id="rId178" Type="http://schemas.openxmlformats.org/officeDocument/2006/relationships/image" Target="media/image125.png"/><Relationship Id="rId179" Type="http://schemas.openxmlformats.org/officeDocument/2006/relationships/image" Target="media/image126.png"/><Relationship Id="rId180" Type="http://schemas.openxmlformats.org/officeDocument/2006/relationships/image" Target="media/image127.png"/><Relationship Id="rId181" Type="http://schemas.openxmlformats.org/officeDocument/2006/relationships/image" Target="media/image128.png"/><Relationship Id="rId182" Type="http://schemas.openxmlformats.org/officeDocument/2006/relationships/image" Target="media/image129.png"/><Relationship Id="rId183" Type="http://schemas.openxmlformats.org/officeDocument/2006/relationships/image" Target="media/image130.png"/><Relationship Id="rId184" Type="http://schemas.openxmlformats.org/officeDocument/2006/relationships/image" Target="media/image131.png"/><Relationship Id="rId185" Type="http://schemas.openxmlformats.org/officeDocument/2006/relationships/image" Target="media/image132.png"/><Relationship Id="rId186" Type="http://schemas.openxmlformats.org/officeDocument/2006/relationships/image" Target="media/image133.png"/><Relationship Id="rId187" Type="http://schemas.openxmlformats.org/officeDocument/2006/relationships/image" Target="media/image134.png"/><Relationship Id="rId188" Type="http://schemas.openxmlformats.org/officeDocument/2006/relationships/image" Target="media/image135.png"/><Relationship Id="rId189" Type="http://schemas.openxmlformats.org/officeDocument/2006/relationships/image" Target="media/image136.png"/><Relationship Id="rId190" Type="http://schemas.openxmlformats.org/officeDocument/2006/relationships/image" Target="media/image137.png"/><Relationship Id="rId191" Type="http://schemas.openxmlformats.org/officeDocument/2006/relationships/image" Target="media/image138.png"/><Relationship Id="rId192" Type="http://schemas.openxmlformats.org/officeDocument/2006/relationships/image" Target="media/image139.png"/><Relationship Id="rId193" Type="http://schemas.openxmlformats.org/officeDocument/2006/relationships/image" Target="media/image140.png"/><Relationship Id="rId194" Type="http://schemas.openxmlformats.org/officeDocument/2006/relationships/image" Target="media/image141.png"/><Relationship Id="rId195" Type="http://schemas.openxmlformats.org/officeDocument/2006/relationships/image" Target="media/image142.png"/><Relationship Id="rId196" Type="http://schemas.openxmlformats.org/officeDocument/2006/relationships/image" Target="media/image143.png"/><Relationship Id="rId197" Type="http://schemas.openxmlformats.org/officeDocument/2006/relationships/image" Target="media/image144.png"/><Relationship Id="rId198" Type="http://schemas.openxmlformats.org/officeDocument/2006/relationships/image" Target="media/image145.png"/><Relationship Id="rId199" Type="http://schemas.openxmlformats.org/officeDocument/2006/relationships/image" Target="media/image146.png"/><Relationship Id="rId200" Type="http://schemas.openxmlformats.org/officeDocument/2006/relationships/image" Target="media/image147.png"/><Relationship Id="rId201" Type="http://schemas.openxmlformats.org/officeDocument/2006/relationships/image" Target="media/image148.png"/><Relationship Id="rId202" Type="http://schemas.openxmlformats.org/officeDocument/2006/relationships/image" Target="media/image149.png"/><Relationship Id="rId203" Type="http://schemas.openxmlformats.org/officeDocument/2006/relationships/image" Target="media/image150.png"/><Relationship Id="rId204" Type="http://schemas.openxmlformats.org/officeDocument/2006/relationships/image" Target="media/image151.png"/><Relationship Id="rId205" Type="http://schemas.openxmlformats.org/officeDocument/2006/relationships/image" Target="media/image152.png"/><Relationship Id="rId206" Type="http://schemas.openxmlformats.org/officeDocument/2006/relationships/image" Target="media/image153.png"/><Relationship Id="rId207" Type="http://schemas.openxmlformats.org/officeDocument/2006/relationships/image" Target="media/image154.png"/><Relationship Id="rId208" Type="http://schemas.openxmlformats.org/officeDocument/2006/relationships/image" Target="media/image155.png"/><Relationship Id="rId209" Type="http://schemas.openxmlformats.org/officeDocument/2006/relationships/image" Target="media/image156.png"/><Relationship Id="rId210" Type="http://schemas.openxmlformats.org/officeDocument/2006/relationships/image" Target="media/image157.png"/><Relationship Id="rId211" Type="http://schemas.openxmlformats.org/officeDocument/2006/relationships/image" Target="media/image158.png"/><Relationship Id="rId212" Type="http://schemas.openxmlformats.org/officeDocument/2006/relationships/image" Target="media/image159.png"/><Relationship Id="rId213" Type="http://schemas.openxmlformats.org/officeDocument/2006/relationships/image" Target="media/image160.png"/><Relationship Id="rId214" Type="http://schemas.openxmlformats.org/officeDocument/2006/relationships/image" Target="media/image161.png"/><Relationship Id="rId215" Type="http://schemas.openxmlformats.org/officeDocument/2006/relationships/image" Target="media/image162.png"/><Relationship Id="rId216" Type="http://schemas.openxmlformats.org/officeDocument/2006/relationships/image" Target="media/image163.png"/><Relationship Id="rId217" Type="http://schemas.openxmlformats.org/officeDocument/2006/relationships/image" Target="media/image164.png"/><Relationship Id="rId218" Type="http://schemas.openxmlformats.org/officeDocument/2006/relationships/image" Target="media/image165.png"/><Relationship Id="rId219" Type="http://schemas.openxmlformats.org/officeDocument/2006/relationships/image" Target="media/image166.png"/><Relationship Id="rId220" Type="http://schemas.openxmlformats.org/officeDocument/2006/relationships/image" Target="media/image167.png"/><Relationship Id="rId221" Type="http://schemas.openxmlformats.org/officeDocument/2006/relationships/image" Target="media/image168.png"/><Relationship Id="rId222" Type="http://schemas.openxmlformats.org/officeDocument/2006/relationships/image" Target="media/image169.png"/><Relationship Id="rId223" Type="http://schemas.openxmlformats.org/officeDocument/2006/relationships/image" Target="media/image170.png"/><Relationship Id="rId224" Type="http://schemas.openxmlformats.org/officeDocument/2006/relationships/image" Target="media/image171.png"/><Relationship Id="rId98" Type="http://schemas.openxmlformats.org/officeDocument/2006/relationships/hyperlink" Target="https://www.sec.gov/Archives/edgar/data/1398733/000114036118033895/s002128x30_ex3-1.htm" TargetMode="External"/><Relationship Id="rId99" Type="http://schemas.openxmlformats.org/officeDocument/2006/relationships/hyperlink" Target="https://www.sec.gov/Archives/edgar/data/1398733/000162828024042948/aquestiveamendedandresta.htm" TargetMode="External"/><Relationship Id="rId100" Type="http://schemas.openxmlformats.org/officeDocument/2006/relationships/hyperlink" Target="https://www.sec.gov/Archives/edgar/data/1398733/000114036118030141/s002128x4_ex4-1.htm" TargetMode="External"/><Relationship Id="rId101" Type="http://schemas.openxmlformats.org/officeDocument/2006/relationships/hyperlink" Target="https://www.sec.gov/Archives/edgar/data/1398733/000114036119012961/ex4_2.htm" TargetMode="External"/><Relationship Id="rId102" Type="http://schemas.openxmlformats.org/officeDocument/2006/relationships/hyperlink" Target="https://www.sec.gov/Archives/edgar/data/1398733/000114036121000685/nt10018675x1_ex4-2.htm" TargetMode="External"/><Relationship Id="rId103" Type="http://schemas.openxmlformats.org/officeDocument/2006/relationships/hyperlink" Target="https://www.sec.gov/Archives/edgar/data/1398733/000114036122022348/ny20004471x2_ex4-1.htm" TargetMode="External"/><Relationship Id="rId104" Type="http://schemas.openxmlformats.org/officeDocument/2006/relationships/hyperlink" Target="https://www.sec.gov/Archives/edgar/data/1398733/000114036122022348/ny20004471x2_ex4-2.htm" TargetMode="External"/><Relationship Id="rId105" Type="http://schemas.openxmlformats.org/officeDocument/2006/relationships/hyperlink" Target="https://www.sec.gov/Archives/edgar/data/1398733/000114036118030141/s002128x4_ex4-3.htm" TargetMode="External"/><Relationship Id="rId106" Type="http://schemas.openxmlformats.org/officeDocument/2006/relationships/hyperlink" Target="https://www.sec.gov/Archives/edgar/data/1398733/000114036120005499/ex4_7.htm" TargetMode="External"/><Relationship Id="rId107" Type="http://schemas.openxmlformats.org/officeDocument/2006/relationships/hyperlink" Target="https://www.sec.gov/Archives/edgar/data/1398733/000114036122019495/brhc10037825_ex4-1.htm" TargetMode="External"/><Relationship Id="rId108" Type="http://schemas.openxmlformats.org/officeDocument/2006/relationships/hyperlink" Target="https://www.sec.gov/Archives/edgar/data/1398733/000114036123051010/ef20013909_ex4-1.htm" TargetMode="External"/><Relationship Id="rId109" Type="http://schemas.openxmlformats.org/officeDocument/2006/relationships/hyperlink" Target="https://www.sec.gov/Archives/edgar/data/1398733/000114036118030141/s002128x4_ex10-1.htm" TargetMode="External"/><Relationship Id="rId110" Type="http://schemas.openxmlformats.org/officeDocument/2006/relationships/hyperlink" Target="https://www.sec.gov/Archives/edgar/data/1398733/000162828022020244/danbarber2022ceoemployme.htm" TargetMode="External"/><Relationship Id="rId113" Type="http://schemas.openxmlformats.org/officeDocument/2006/relationships/hyperlink" Target="https://www.sec.gov/Archives/edgar/data/1398733/000114036118032464/s002128x7_ex10-8.htm" TargetMode="External"/><Relationship Id="rId114" Type="http://schemas.openxmlformats.org/officeDocument/2006/relationships/hyperlink" Target="https://www.sec.gov/Archives/edgar/data/1398733/000114036118030141/s002128x4_ex10-9.htm" TargetMode="External"/><Relationship Id="rId115" Type="http://schemas.openxmlformats.org/officeDocument/2006/relationships/hyperlink" Target="https://www.sec.gov/Archives/edgar/data/1398733/000114036118030141/s002128x4_ex10-10.htm" TargetMode="External"/><Relationship Id="rId116" Type="http://schemas.openxmlformats.org/officeDocument/2006/relationships/hyperlink" Target="https://www.sec.gov/Archives/edgar/data/1398733/000162828023010180/indiviorceaamendment0323.htm" TargetMode="External"/><Relationship Id="rId117" Type="http://schemas.openxmlformats.org/officeDocument/2006/relationships/hyperlink" Target="https://www.sec.gov/Archives/edgar/data/1398733/000114036118030141/s002128x4_ex10-11.htm" TargetMode="External"/><Relationship Id="rId118" Type="http://schemas.openxmlformats.org/officeDocument/2006/relationships/hyperlink" Target="https://www.sec.gov/Archives/edgar/data/1398733/000114036118030141/s002128x4_ex10-12.htm" TargetMode="External"/><Relationship Id="rId119" Type="http://schemas.openxmlformats.org/officeDocument/2006/relationships/hyperlink" Target="https://www.sec.gov/Archives/edgar/data/1398733/000114036120006442/ex10_1.htm" TargetMode="External"/><Relationship Id="rId120" Type="http://schemas.openxmlformats.org/officeDocument/2006/relationships/hyperlink" Target="https://www.sec.gov/Archives/edgar/data/1398733/000114036121007811/brhc10021358_ex10-15.htm" TargetMode="External"/><Relationship Id="rId121" Type="http://schemas.openxmlformats.org/officeDocument/2006/relationships/hyperlink" Target="https://www.sec.gov/Archives/edgar/data/1398733/000114036118030141/s002128x4_ex10-13.htm" TargetMode="External"/><Relationship Id="rId122" Type="http://schemas.openxmlformats.org/officeDocument/2006/relationships/hyperlink" Target="https://www.sec.gov/Archives/edgar/data/1398733/000121465923010930/ex4_1.htm" TargetMode="External"/><Relationship Id="rId123" Type="http://schemas.openxmlformats.org/officeDocument/2006/relationships/hyperlink" Target="https://www.sec.gov/Archives/edgar/data/1398733/000114036120005499/ex10_14.htm" TargetMode="External"/><Relationship Id="rId124" Type="http://schemas.openxmlformats.org/officeDocument/2006/relationships/hyperlink" Target="https://www.sec.gov/Archives/edgar/data/1398733/000114036118030141/s002128x4_ex10-16.htm" TargetMode="External"/><Relationship Id="rId125" Type="http://schemas.openxmlformats.org/officeDocument/2006/relationships/hyperlink" Target="https://www.sec.gov/Archives/edgar/data/1398733/000114036118032464/s002128x7_ex10-17.htm" TargetMode="External"/><Relationship Id="rId126" Type="http://schemas.openxmlformats.org/officeDocument/2006/relationships/hyperlink" Target="https://www.sec.gov/Archives/edgar/data/1398733/000114036118032464/s002128x7_ex10-18.htm" TargetMode="External"/><Relationship Id="rId127" Type="http://schemas.openxmlformats.org/officeDocument/2006/relationships/hyperlink" Target="https://www.sec.gov/Archives/edgar/data/1398733/000114036118042522/ex10_4.htm" TargetMode="External"/><Relationship Id="rId128" Type="http://schemas.openxmlformats.org/officeDocument/2006/relationships/hyperlink" Target="https://www.sec.gov/Archives/edgar/data/1398733/000114036121007811/brhc10021358_ex10-23.htm" TargetMode="External"/><Relationship Id="rId129" Type="http://schemas.openxmlformats.org/officeDocument/2006/relationships/hyperlink" Target="https://www.sec.gov/Archives/edgar/data/1398733/000162828022005393/firstamendmenttoamsexecu.htm" TargetMode="External"/><Relationship Id="rId130" Type="http://schemas.openxmlformats.org/officeDocument/2006/relationships/hyperlink" Target="https://www.sec.gov/Archives/edgar/data/1398733/000162828022027580/atnahspharmauklimitedlic.htm" TargetMode="External"/><Relationship Id="rId133" Type="http://schemas.openxmlformats.org/officeDocument/2006/relationships/hyperlink" Target="https://www.sec.gov/Archives/edgar/data/1398733/000162828022012115/aquestivehaiscolicenseag.htm" TargetMode="External"/><Relationship Id="rId134" Type="http://schemas.openxmlformats.org/officeDocument/2006/relationships/hyperlink" Target="https://www.sec.gov/Archives/edgar/data/1398733/000162828023010180/aqst-assertiolicenseagre.htm" TargetMode="External"/><Relationship Id="rId135" Type="http://schemas.openxmlformats.org/officeDocument/2006/relationships/hyperlink" Target="https://www.sec.gov/Archives/edgar/data/1398733/000114036119016535/ex1_2.htm" TargetMode="External"/><Relationship Id="rId136" Type="http://schemas.openxmlformats.org/officeDocument/2006/relationships/hyperlink" Target="https://www.sec.gov/Archives/edgar/data/1398733/000114036121010128/nt10022087x3_ex10-1.htm" TargetMode="External"/><Relationship Id="rId137" Type="http://schemas.openxmlformats.org/officeDocument/2006/relationships/hyperlink" Target="https://www.sec.gov/Archives/edgar/data/1398733/000162828023026584/aqstwarrantinducementlet.htm" TargetMode="External"/><Relationship Id="rId138" Type="http://schemas.openxmlformats.org/officeDocument/2006/relationships/hyperlink" Target="https://www.sec.gov/Archives/edgar/data/1398733/000114036123051010/ef20013909_ex10-1.htm" TargetMode="External"/><Relationship Id="rId139" Type="http://schemas.openxmlformats.org/officeDocument/2006/relationships/hyperlink" Target="https://www.sec.gov/Archives/edgar/data/1398733/000114036123051010/ef20013909_ex10-2.htm" TargetMode="External"/><Relationship Id="rId140" Type="http://schemas.openxmlformats.org/officeDocument/2006/relationships/hyperlink" Target="https://www.sec.gov/Archives/edgar/data/1398733/000114036123051010/ef20013909_ex10-3.htm" TargetMode="External"/><Relationship Id="rId141" Type="http://schemas.openxmlformats.org/officeDocument/2006/relationships/hyperlink" Target="https://www.sec.gov/Archives/edgar/data/1398733/000162828024009010/pharmanovialsaamendment0.htm" TargetMode="External"/><Relationship Id="rId142" Type="http://schemas.openxmlformats.org/officeDocument/2006/relationships/hyperlink" Target="https://www.sec.gov/Archives/edgar/data/1398733/000139873325000028/rtw-aqstxpurchaseandsale.htm" TargetMode="External"/><Relationship Id="rId143" Type="http://schemas.openxmlformats.org/officeDocument/2006/relationships/hyperlink" Target="https://www.sec.gov/Archives/edgar/data/1398733/000139873326000016/formofaquestive2026warra.htm" TargetMode="External"/><Relationship Id="rId144" Type="http://schemas.openxmlformats.org/officeDocument/2006/relationships/hyperlink" Target="https://www.sec.gov/Archives/edgar/data/1398733/000139873326000016/amdno1rtw-aqstxfeb2026ex.htm" TargetMode="External"/><Relationship Id="rId145" Type="http://schemas.openxmlformats.org/officeDocument/2006/relationships/hyperlink" Target="https://www.sec.gov/Archives/edgar/data/1398733/000139873326000016/warrantissuanceagreement.htm" TargetMode="External"/><Relationship Id="rId146" Type="http://schemas.openxmlformats.org/officeDocument/2006/relationships/hyperlink" Target="https://www.sec.gov/Archives/edgar/data/1398733/000139873326000016/equitycommitmentagreemen.htm" TargetMode="External"/><Relationship Id="rId147" Type="http://schemas.openxmlformats.org/officeDocument/2006/relationships/hyperlink" Target="https://www.sec.gov/Archives/edgar/data/1398733/000162828024009010/aquestiveclawbackpolicy92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2026-03-04T15:28:16Z</dcterms:created>
  <dcterms:modified xsi:type="dcterms:W3CDTF">2026-03-04T15:28:16Z</dcterms:modified>
</cp:coreProperties>
</file>