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Aquestive Therapeutics, Inc. (the "Company") is furnishing this Current Report on Form 8-K in connection with the disclosure of information, in the form of an investor presentation, to be given at meetings with institutional investors, analysts and others. This information may be amended or updated at any time and from time to time through another Current Report on Form 8-K, a later Company filing or other means. A copy of the Company’s investor presentation is attached hereto as Exhibit 99.1 to this Current Report on Form 8-K and incorporated into this Item 7.01 by reference. The investor presentation is available on the Events and Presentations Page of the Investors section of the Company’s website located at www.aquestive.com, although the Company reserves the right to discontinue that availability at any time.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to be “filed” for purposes of, or otherwise subject to the liabilities of, Section 18 of the Exchange Act of 1934, as amended (the "Exchange Act"), nor shall it be deemed to be incorporated by reference in any filing under the Securities Act of 1933, as amended,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560"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1932"/>
        <w:gridCol w:w="1932"/>
        <w:gridCol w:w="2750"/>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poratepresentation-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Corporate Presentation, dated September 23, 2026</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024" w:type="dxa"/>
        <w:jc w:val="left"/>
        <w:tblInd w:w="0" w:type="dxa"/>
        <w:tblLayout w:type="fixed"/>
        <w:tblCellMar>
          <w:top w:w="28" w:type="dxa"/>
          <w:left w:w="28" w:type="dxa"/>
          <w:bottom w:w="28" w:type="dxa"/>
          <w:right w:w="28" w:type="dxa"/>
        </w:tblCellMar>
      </w:tblPr>
      <w:tblGrid>
        <w:gridCol w:w="859"/>
        <w:gridCol w:w="754"/>
        <w:gridCol w:w="757"/>
        <w:gridCol w:w="383"/>
        <w:gridCol w:w="383"/>
        <w:gridCol w:w="383"/>
        <w:gridCol w:w="732"/>
        <w:gridCol w:w="732"/>
        <w:gridCol w:w="104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Dated: </w:t>
            </w:r>
            <w:r>
              <w:rPr>
                <w:rFonts w:ascii="Times New Roman;serif" w:hAnsi="Times New Roman;serif"/>
                <w:b/>
                <w:color w:val="000000"/>
                <w:sz w:val="20"/>
              </w:rPr>
              <w:t>September 25,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0"/>
        <w:jc w:val="center"/>
        <w:rPr/>
      </w:pPr>
      <w:bookmarkStart w:id="0" w:name="corporatepresentation-se.htm"/>
      <w:bookmarkStart w:id="1" w:name="kscorporatepresentationse"/>
      <w:bookmarkEnd w:id="0"/>
      <w:bookmarkEnd w:id="1"/>
      <w:r>
        <w:rPr/>
        <w:drawing>
          <wp:inline distT="0" distB="0" distL="0" distR="0">
            <wp:extent cx="9753600" cy="5486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Presentation September 23,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This presentation and the accompanying oral commentary have been prepared by Aquestive Therapeutics, Inc. (“Aquestive,” the “Company,” “we,” “our” or “us”) and contain “forward-looking statements” within the meaning of the Private Securities Litigation Reform Act of 1995, including statements made by management during the presentation and any question-and-answer session.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the regulatory review and approval process by the U.S. Food and Drug Administration (“FDA”); our belief that the New Drug Application (“NDA”) resubmission addresses the matters identified by the FDA in the Complete Response Letter (“CRL”) dated January 30, 2026; the FDA’s acceptance, filing, review and classification of the resubmitted NDA; the length of the resulting review period; the establishment and timing of any FDA review goal date; our request for expedited review and whether such request will be granted; whether the FDA will determine that the resubmission constitutes a complete response to the CRL; the significance, interpretation and sufficiency of the human factors and pharmacokinetic study results and the pharmacokinetic and pharmacodynamic data supporting the NDA resubmission; and the potential approval of Anaphylm by the FDA and the timing thereof. Forward-looking statements also include statements regarding the advancement and related timing of potential international regulatory filings and marketing authorizations for Anaphylm outside the United States, including in Canada and the European Union; that Anaphylm will be the first and only non-device-based, orally delivered epinephrine product and may be accepted by patients, prescribers and payors as an alternative to existing standards of care, if approved by the FDA; our commercial launch strategy and launch readiness for Anaphylm, if approved by the FDA; the anticipated size and deployment of our sales force; the number and types of prescribers we intend to target; anticipated prescriber and market coverage; our patient support, affordability and product-fulfillment programs; our payer engagement and market-access strategy; and our ability to compete effectively in the market. These forward-looking statements further include statements regarding the advancement, growth and related timing of our AdrenaVerse pipeline, including AQST-108 (epinephrine) topical gel, through clinical development and the FDA regulatory approval process; the design and timing of clinical studies for AQST-108, including studies relating to alopecia areata, atopic dermatitis and other potential dermatologic or immunologic indications; the mechanism of action and potential benefits of AQST-108, including its potential to reduce inflammation and itch; the ability of our PharmFilm® and AdrenaVerse technology platforms to support the development of additional product candidates and treatment indications; market access for Libervant® (diazepam) buccal film for epilepsy patients experiencing acute repetitive seizures upon expiration of the orphan drug market exclusivity of an approved FDA product of another company; the future commercial opportunities for Anaphylm, Libervant and AQST-108; potential market growth, revenues and projected peak annual sales; the size, growth and projected value of the epinephrine and atopic dermatitis markets; the potential benefits our products and product candidates may provide to patients; and business strategies, market opportunities and other statements that are not historical facts. Such forward-looking statements also include statements regarding anticipated timelines, milestones and guidance relating to regulatory submissions, clinical studies, regulatory interactions and potential approvals, all of which are inherently uncertain and subject to change based on regulatory feedback, data sufficiency and other factors outside the Company’s control. Forward-looking statements also include statements regarding our cash position, liquidity and capital resources; the availability, timing, amount and conditions of funding under our strategic funding agreement and debt facility, including funding contingent upon FDA approval of Anaphylm; our ability to satisfy applicable funding conditions and access such capital when needed; the sufficiency of available cash and financing to support planned operations, development programs and commercialization activities; the prevalence, severity, diagnosed population, actively managed population and unmet need associated with atopic dermatitis; the competitive profile, market receptivity and potential commercial positioning of AQST-108; potential expansion into additional indications; and projected market or portfolio revenues. These forward-looking statements are based on our current expectations and beliefs and are subject to risks and uncertainties that could cause actual results to differ materially from those described in the forward-looking statements. Such risks and uncertainties include, but are not limited to, the risk that the FDA may determine that the Anaphylm NDA resubmission does not constitute a complete response to the CRL; the risk that the FDA may refuse to file or otherwise not accept the resubmission for review; the risk that the FDA may classify the resubmission differently than the Company anticipates, resulting in a longer review period than expected; the risk that the FDA may not establish a review goal date within the timeframe anticipated by the Company; the risk that expedited review may not be granted; risks that preliminary, topline, interim or summary human factors, pharmacokinetic or pharmacodynamic results may differ from final analyses or may be interpreted differently by regulatory authorities; the possibility that the FDA may disagree with the Company’s interpretation of study results, findings or conclusions, or may request additional information, analyses, human factors studies or clinical studies; risks associated with our ability to address the FDA’s comments on and identified deficiencies in the Anaphylm NDA, including the concerns raised by the FDA in the CRL, and whether the FDA may request further information from us, including additional studies, disagree with our protocols, study designs or findings, or otherwise undertake a lengthy review of the resubmitted NDA; the risk that the FDA may consider issues raised in one or more citizen petitions or similar submissions relating to Anaphylm; risks relating to FDA inspections of manufacturing and clinical-study sites; risks associated with our development activities, including delays or changes to the timing, cost or success of our product-development programs and clinical studies for Anaphylm and AQST-108; Additional risks include the possibility that financing expected to become available upon FDA approval or other milestones may not become available when anticipated or at all; that estimates of atopic dermatitis prevalence and active management may be materially inaccurate; that claims analyses may not reflect current treatment patterns; that AQST-108 may not demonstrate the proposed mechanism, localized activity, efficacy, safety, durability or commercial differentiation suggested by early-stage observations; and that development in atopic dermatitis or any additional indication may require additional studies and may not result in regulatory approval or a commercially viable product; risks of delays in, or failure to obtain, regulatory approval of Anaphylm, Libervant or AQST-108; risks related to government shutdowns, reductions in government workforce or other governmental resource constraints that may adversely affect the FDA’s ability to review or act upon regulatory submissions in a timely manner or at all; and the risk of delays in the regulatory approval process outside the United States, including the risk that foreign regulatory authorities may require different, additional or more extensive clinical, nonclinical, human factors, pharmacokinetic, manufacturing or other data than anticipated or may not accept data generated for U.S. regulatory purposes. Further risks and uncertainties include challenges associated with the potential commercial launch of Anaphylm, if approved by the FDA; risks inherent in commercializing a new product, including technology, financial, market, implementation and regulatory risks; risks associated with developing and maintaining the sales, marketing, patient-support, distribution and other capabilities necessary to commercialize our products and product candidates; the risk that our planned sales-force size and deployment, prescriber targeting, patient-support and affordability programs, payer engagement, market-access strategy and product-fulfillment arrangements may not achieve the coverage, access, adoption or financial returns we anticipate; risks relating to competition and the success of competing products, including generics; and the rate and degree of market acceptance of our products and product candidates by patients, prescribers and payors. Projected peak annual sales, market size, market growth, potential revenues, prescriber coverage and other commercial estimates may prove materially inaccurate because they are based on assumptions regarding regulatory approval, product labeling, pricing, reimbursement, competition, prescribing behavior, patient preference, market adoption and other factors, as well as internal estimates and third-party data that we have not independently verified. Survey results and stated preferences may not predict actual prescribing, utilization, adherence, clinical outcomes or market adoption. Other risks and uncertainties include risks concerning our ability to maintain sufficient capital and cash resources and access available debt and equity financing to satisfy our short-term and longer-term liquidity requirements and fund our business operations, key initiatives, clinical-development activities and potential commercialization activities; the possibility that assumptions underlying projected liquidity or capital sufficiency may prove incorrect; risks relating to our manufacturing capacity and supply chain; risks associated with intellectual-property rights and infringement claims; risks relating to legislation, regulatory actions and changes in laws or regulations affecting our business, including product pricing, reimbursement and market access; risks relating to claims, citizen petitions, investigations and legal proceedings; risks associated with information-technology and cybersecurity disruptions; risks relating to general economic, political, business, industry, regulatory, financial and market conditions; uncertainty regarding presidential-administration initiatives, including tariffs and trade restrictions; and the other uncertainties described in the “Risk Factors” section and other sections of the Company’s Annual Report on Form 10-K, Quarterly Reports on Form 10-Q and Current Reports on Form 8-K filed with the U.S. Securities and Exchange Commission. Given these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any forward-looking statement, outlook or guidance after the date of this presentation, whether as a result of new information, future events or otherwise, except as required by applicable law. The industry, market and competitive-position data used in this presentation are derived from the Company’s internal estimates, research and industry experience and from third-party industry publications, surveys and studies, none of which the Company has independently verified. Such data reflect assumptions and limitations, involve risks and uncertainties, are subject to change and should not be given undue weight. 2© 2026 Aquestive Therapeutics,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Who we are A publicly traded pharmaceutical company (NASDAQ: AQST) focused on advancing medicines to bring meaningful improvement to patients' lives through innovative science and delivery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Medicines to Bring Meaningful Improvement to Patients’ Lives 41. Aquestive Therapeutics data on file. 6 FDA approvals with products available on six continents 2.5+ billion PharmFilm® doses shipped worldwide 100+ patents filed in the U.S. and worldwide 20+ years Since the company was founded 2 core technologies: PharmFilm and AdrenaVerse $1.5+ billion1 in potential peak annual net sales from pipeline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Technologies PharmFilm® 5 PharmFilm® is a unique and versatile technology for high-performance drug delivery. Aquestive scientists combine the customizable features of PharmFilm® with patented formulation and engineering processes to optimize the delivery of active pharmaceutical ingredients (APIs). The AdrenaVerse platform contains a library of over 20 epinephrine prodrugs that demonstrate control of absorption and conversion rates across a variety of dosage forms including lotions, creams, and ointments (LCOs) and delivery sites. The AdrenaVerse platform enables us to pursue a variety of allergy and dermatology indications. 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Products 1. Ondif collaboration with Hypera-Pharma (Brazil). 2. Sympazan collaboration with Cosette Pharmaceuticals, Inc. (worldwide). 3. Emylif collaboration with Zambon (EU). 4. Suboxone collaboration with Indivior (worldwide). 6 Aquestive is the go-to formulation development and commercial manufacturing partner for oral thin film products worldwide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Pipeline Fuels Our Growth Plan 7 1. Aquestive Therapeutics data on file. 2. Potential annual revenue after anticipated launch in 2027. Anaphylm (dibutepinephrine) sublingual film (SEVERE ALLERGIES, ANAPHYLAXIS) Received CRL on January 30; NDA resubmitted to FDA on September 17, 2026 &gt;$1B1 Annual Revenue Libervant® (diazepam) buccal film (ACUTE REPETITIVE SEIZURES) &gt;$100M2 Annual Revenue AQST-108 (epinephrine) topical gel &gt;$500M1 Annual Revenue Proprietary Growth Drivers Preclinical Clinical Filed Marketed Opportunity Size (ATOPIC DERMATITIS &amp; other dermatology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Dedicated and Experienced Leadership Team 8 Daniel Barber President, CEO &amp; Director Matthew Greenhawt Chief Medical Officer Peter Boyd Chief People Officer Melina Cioffi SVP, Regulatory Affairs Sherry Korczynski Chief Commercial Officer Matthew Davis Chief Development Officer Ernie Toth Chief Financial Officer Thomas A. Zalewski Chief Legal Officer, Chief Compliance Officer Cassie Jung 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Position Supports Anaphylm Review and Launch Preparation 9 $98.5 million in cash and cash equivalents as of June 30, 2026 Access to $75 million if Anaphylm is approved by the FDA through a Strategic funding agreement with RTW Investments An additional $20 million available under the debt facility from Oaktree Capital Management if Anaphylm is approved by the FDA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 Asset Anaphylm (dibutepinephrine) sublingual film 10 ANAPHYLM (dibutepinephrine) sublingual film is an investigational product candidate that has not been approved by the U.S. Food and Drug Administration. Safety and efficacy have not been established. Statements regarding potential benefits, clinical performance, market opportunity, commercialization plans and regulatory timing are subject to FDA review and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Novel Approach to Epinephrine Delivery Anaphylm (dibutepinephrine) sublingual film Needle-Free Easy to Use Designed to Work Quickly1 Device-Free Easy to Carry 1. Aquestive Therapeutics data on file. First and only non-device, orally delivered epinephrine product candidate 11 ANAPHYLM (dibutepinephrine) sublingual film is an investigational product candidate that has not been approved by the U.S. Food and Drug Administration. Safety and efficacy have not been established. Statements regarding potential benefits, clinical performance, market opportunity, commercialization plans and regulatory timing are subject to FDA review and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Anaphylaxis: 12 1. Xiaowei Liu , Sangil Lee , Christine M Lohse , Cassandra T Hardy , Ronna L Campbell Biphasic Reactions in Emergency Department Anaphylaxis Patients: A Prospective Cohort Study, DOI: 10.1016/j.jaip.2019.10.027 2. Shaw, Maggie L, Gaps in Anaphylaxis Care, Epinephrine Use Highlight Resource Need, Nov. 6, 2021. A rapid-onset, life-threatening allergic reaction requiring immediate intervention Anaphylaxis signs &amp; symptoms (minutes to hours)1,2 Allergen Exposure LI KE LI H O O D O F O C C U RR EN C E INITIAL REACTION 5m 10m 15m 20m 25m 30m 1h 8h 72h2h 3h 4h 5h 6h 7h 9h 10hTIME During an allergic reaction, time is the enemy 30+ minute delay = Triple risk1 Benefits of epinephrine far outweigh the risks2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U.S. Epinephrine for Anaphylaxis Treatment Market Size, Share &amp; Industry Analysis; Fortune Business Insights, Mar 23, 2026; https://www.fortunebusinessinsights.com/u-s-epinephrine-for-anaphylaxis- treatment-market-110494 2. Symphony Health Data through 12/31/2025, Metys National Projected Data, All Market Data is limited to US &amp; Surrounding Territories The epinephrine market continues to grow; could reach ~7.5M TRxs and ~$2.03B by 2029 13 $0.89 $1.04 $1.11 $1.25 $1.41 $1.60 $1.80 $2.03 $2.30 $2.59 $2.93 0 2 4 6 8 10 12 0.00 0.50 1.00 1.50 2.00 2.50 3.00 3.50 2022 2023 2024 2025 2026E 2027E 2028E 2029E 2030E 2031E 2032E Annual Epinephrine Estimated Market Value1 (Billions) Market value could exceed ~$2B with continued growth Annual Epinephrine Estimated TRxs2 (Millions) U SD IN B IL LI O N S1 YEARS TR xs (M IL LI O N S) 2 ESTIMATED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Challenges with Current Epinephrine Auto-Injectors (EAIs) 1. Golden DBK, et al. (2024). Ann Allergy Asthma Immunol, 132(2), 124–176. 2. Pouessel G, et al. (2025). Clin Exp Allergy, 55(1), 36–51. 3. Lieberman JA, et al. (2023). Ann Allergy Asthma Immunol, 131(2), 185–193.e10. 4. Wang J. (2024). J Food Allergy, 6(1), 32–36. 5. Portnoy J, et al. (2019). J Allergy Clin Immunol Pract, 7(7), 2252–2261. 6. Curtis C, et al. (2014). Ann Allergy Asthma Immunol, 112(6), 560–562. EAI device-related issues deter device carriage, increase the chances of leaving them at home, make them less accessible when needed and reduce the likelihood of carrying two devices.1-6 Inconvenient size and shape of EAI device and/or carrying case Social stigma and/or forgetfulness Complicated administration leading to improper use, EAI device malfunctions, and hesitancy to use an EAI device Needle phobia and anxiety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Rapid Relief Needed When It Matters Most1 1. Aquestive Therapeutics, Inc. data results on file, excluding T-max data results for Neffy®, which can be found in the prescribing information located in the approved product label; no head-to-head comparison studies have been conducted with Anaphylm and Neffy®. 15 Therapeutic blood concentrations in as little as 5 minutes (over 100 pg/ml) Median T-max of 12 minutes Anaphylm reaches peak absorption in just 12 minutes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of Survey Respondents Preferred Anaphylm In a Hands-on Epinephrine Preference Survey¹,² 51 1 1 PREFER FILM PREFER FILM &amp; NASAL EQUALLY PREFER NASAL Survey Results 1. Aquestive Therapeutics data on file. 2. Survey results reflect stated respondent preferences under controlled survey conditions and should not be interpreted as evidence of actual prescribing, utilization, adherence, clinical outcomes or market adoption. 16 Survey Methodology: • Double-blinded survey with 27 adult patients and 26 caregivers of pediatric patients at risk for anaphylaxis • Respondents were mailed an envelope containing one empty, non-labeled nasal spray device and one non- labeled placebo film strip • Respondents kept envelopes sealed until an on-camera interview video call was conducted during which they opened the envelope2 • Respondents were asked to assume that, if these products were made available for prescribing by their health care prescriber (HCP), both products would be: • Equal in general efficacy and safety to each other and to their current epinephrine auto-injector (EAI) • Endorsed by their HCP • Equal in out-of-pocket cost to each other Anaphylm: Where You Need It When You Need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Anaphylm Launch Preparation 2026 2027 Plans for a Commercial Launch • Facilitate access with payers • Focus on key prescribers in the initial launch • Leverage Anaphylm’s unique product attributes to engage HCPs, patients, caregivers, and advocacy groups • Optimize marketing mix that works smarter, is more focused to enable us to effectively compete in the epinephrine delivery market Launch Readiness • Unbranded medical education • Continue to increase awareness • Identifying epinephrine prescribers • Work with payers to raise awareness • Engagement with advocacy groups • Congress attendance • Publications • Commercial infrastructure is built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Anaphylm Regulatory Milestones 18 1. The FDA will determine the classification of the NDA resubmission and establish the applicable review timeline following its initial review of the resubmission. The Company intends to request expedited review, but there can be no assurance that expedited review will be granted or that any particular review period or action date will apply. Q1 2027Q4 2026Q3 2026Q2 2026Q1 2026 NDA Resubmitted Ex-US filing in Canada Ex-U.S. filing in European Union • The FDA will determine the resubmission classification and establish the applicable review timeline following its initial review; Aquestive intends to request expedited review, but expedited review cannot be guaranteed • Ex-US expansion is on track – filing in Canada before the end of 2026 and the filing in the E.U. in Q1 2027 FDA Complete Response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Products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AQST-108 (epinephrine) Topical Gel 1. Jeong, W.Y., Kwon, M., Choi, H.E. et al. Recent advances in transdermal drug delivery systems: a review. Biomater Res 25, 24 (2021). 2. Aquestive Therapeutics data on file. 3. See Investor Day Presentation dated September 27, 2024, located at Aquestive.com/investors/eventsandpresentations for more detail on clinical development and the commercial overview. 20 The utility of exogeneous epinephrine for the treatment of medical conditions has been limited due to the molecule’s five-minute half-life as well as poor absorption capabilities¹ Aquestive’s AdrenaVerse technology has the potential to address both problems2,3 Pursuing atopic dermatitis (AD) as a potential initial indication Potential to evaluate additional dermatologic and immunologic indications HUMAN SKIN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AQST-108 has the potential to harness the benefits of a topical gel with prodrug technology1 Administration process • Topical gel applied to affected skin (epidermis) • AQST-108 penetrates to dermis layer and converts slowly over time • AQST-108 converts to via interstitial esterases • Localized effect: early studies indicate almost no conversion to systemic epinephrine Early proof points AQST-108 topical gel Dipivefrin prodrug Local epinephrine in skin Carboxylesterase conversion Clinical – seen in AD patients, 108103 TSLP suppression ↓ direct sensory-nerve firing Chemokine reduction ↓ CCL3, CCL4 in patients Preclinical and human-cell in vitro Mast-cell stabilization ↓ histamine, tryptase, MRGPRX2 NF-κB modulation ↓ IL-31, the itch cytokine Th2/Th1 rebalancing ↓ IL-4/IL-13 nerve priming Less immune-cell traffic ↓ VCAM-1, TNFα, ITAC, IL-8 Desired clinical outcome Reduced itch ≥4-point WI-NRS reduction vs placebo AQST-108 structure &amp; conversion L-Dipivefrin Pivaloyl ester of L-epinephrine L-epinephrine (active) Pivalic Acid (inactive) Pivalic Acid (inactive) Interstitial esterases 1. Aquestive Therapeutics data on file. AQST-108 is an investigational product candidate. Early-stage, preclinical, in vitro and clinical observations may not predict future clinical outcomes or regulatory approval. Safety and efficacy have not been established.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AQST-108 has the potential to weaken the inflammatory amplification loop Dermatological Inflammation and downstream immunological effects TSLP (Thymic stromal lymphopoietin) Skin Barrier Disruption IL-4 (Interleukin-4) Keratinocyte Activation IL-8 (CXCL8) Antigen-Presenting Cell / Dendritic Cell NF-κB (Inflammatory transcription factor) Naive T Cell IFN-γ (Interferon gamma) CD4+ T Cell TNF-α (Tumor necrosis factor alpha) CD8+ T Cell IL-6 (Interleukin-6) B Cell + + + + + ITAC / CXCL11 (Interferon-inducible T-cell alpha chemoattractant) MCP-1 / CCL2 (Monocyte Chemoattractant Protein-1) CCL3 / MIP-1α (Macrophage inflammatoryprotein 1-alpha) CCL4 / MIP-1β (Macrophage inflammatoryprotein 1-beta) Dermatologic Inflammatory &amp; Immunologic Disease Trigger Pro-inflammatory Cytokine Signaling Chemokine Amplification (Downstream Chemokines) T Cells B Cells Macrophages Monocytes Mast Cells Reduced degranulation Stabilizes mast cellsReduced Immune Cell Recruitment &amp; Mast Cell Stabilization 1 2 3 4 Downregulation / Inhibition Reduced Recruitment /Activity Inflammatory Amplification Loop Stabilization / Protective Effect In fla m m at or y Am pl ifi ca tio n Lo op - Loop inhibited by ACPT-10? Po te nt ia l f or A Q ST -1 08 do w nr eg ul at io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Atopic Dermatitis (AD) Treatment Landscape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~27.5M prevalent AD patients, ~3M of whom are actively managed; ~90% of patients have mild-moderate AD, which is historically pharmacologically underserved 1. Chiesa Fuxench ZC et al., Atopic Dermatitis in America Study: A Cross-Sectional Study J Invest Dermatol. 2019 Mar;139(3):583-590. doi: 10.1016/j.jid.2018.08.028. Epub 2018 Oct 30. PMID: 30389491; 2. “Prevalence of atopic dermatitis in the United States from 2021 to 2024.” Journal of the American Academy of Dermatology, vol. 94, no. 2, 2025; 3. Silverberg JI, et al., Atopic dermatitis in the pediatric population: A cross-sectional, international epidemiologic study. Ann Allergy Asthma Immunol. 2021 Apr;126(4):417-428.e2. doi: 10.1016/j.anai.2020.12.020. Epub 2021 Jan 6. PMID: 33421555; 4. Symphony Claims Database, Accessed May 2026; *Sanofi, Arcutis, and Organon all cite 26M, with 16.5M adults and 9.6M pediatrics, from the National Eczema Association as their US prevalence estimates AD Treated Population AD Treated Population Claims analysis estimates ~3M actively managed AD patients • This is likely an underestimate that excludes patients treated with OTCs (moisturizers, emollients, low-dose steroids) 18.8 M 8.7 M Pediatric Adults Total: ~27.5M* Age1, 2, 3 Severity1 Diagnosed Prevalence1, 2, 3: ~27.5M Claims-Identified Diagnosed4: ~9.5M Actively Managed4: ~3.0M ~60% Mild ~29% Moderate ~11% Severe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 market remains receptive to therapies that address unmet needs and offer improvements over existing treatment attributes *Does not specify mild-moderate on-label TEAEs = Treatment-Emergent Adverse Events; FDA on-label indications, accessed May 2026; AQST-108 TPP; Market Research Interviews conducted June-July 2026, N=20 HCPs and N=10 Patients/Caregivers Patient Age at Launch 12+ years 6+ years 2+ years Severity Mild-to-Mod Mild-to-Mod Not restricted by severity* MOA First topical JAK approved PDE4 First topical AhR approved Dosing Twice Daily Once Daily Once Daily ROA Topical Cream Efficacy 62% 45% 57% Durability Non-continuous treatment No long-term claim Treatment-free effect claim Safety (% TEAEs) 27% + Black Box Warning 22% 41% Later Entry to AD Market Product Attributes of Branded Topicals No Improvement / Neutral Improvement over Previously Approved Branded Topicals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AQST-108 has the potential for expansion into additional dermatologic and immunologic indications 1. EvaluatePharma, accessed July 2026; Vtama sales not reported by EP $359M $416M $303M $390M $167M $105M $293M $150M $259M $917M $1,525M 2026 2030 (projected) Psoriasis Atopic Dermatitis Future Indications* Vitiligo Atopic Dermatitis O pz el ur a Zo ry ve Branded Topicals Portfolio Revenue1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4615</Words>
  <Characters>27765</Characters>
  <CharactersWithSpaces>32362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corporatepresentation-se</dc:title>
</cp:coreProperties>
</file>