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For the transition period from _____</w:t>
      </w:r>
      <w:r>
        <w:rPr>
          <w:color w:val="000000"/>
        </w:rPr>
        <w:t xml:space="preserve">  </w:t>
      </w:r>
      <w:r>
        <w:rPr>
          <w:rFonts w:ascii="Times New Roman;sans-serif" w:hAnsi="Times New Roman;sans-serif"/>
          <w:b/>
          <w:color w:val="000000"/>
          <w:sz w:val="20"/>
        </w:rPr>
        <w:t>to 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001-38599</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8"/>
        <w:gridCol w:w="1333"/>
        <w:gridCol w:w="1347"/>
        <w:gridCol w:w="1017"/>
        <w:gridCol w:w="1017"/>
        <w:gridCol w:w="1019"/>
        <w:gridCol w:w="861"/>
        <w:gridCol w:w="861"/>
        <w:gridCol w:w="1232"/>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30 Technology Drive, Warren, NJ 07059</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82-3827296</w:t>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( 908) 941-1900</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Zip Code and Telephone Number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AQST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Securities registered pursuant to Section 12(g) of the Act:  </w:t>
      </w:r>
      <w:r>
        <w:rPr>
          <w:rFonts w:ascii="Times New Roman;sans-serif" w:hAnsi="Times New Roman;sans-serif"/>
          <w:b/>
          <w:color w:val="000000"/>
          <w:sz w:val="20"/>
        </w:rPr>
        <w:t>None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left"/>
        <w:rPr/>
      </w:pPr>
      <w:r>
        <w:rPr/>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shares of the registrant’s common stock, par value of $0.001 per share (the "Common Stock"), as of the close of business on August 2, 2024 was 91,059,760.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10"/>
        <w:gridCol w:w="449"/>
        <w:gridCol w:w="449"/>
        <w:gridCol w:w="2786"/>
        <w:gridCol w:w="2592"/>
        <w:gridCol w:w="2614"/>
        <w:gridCol w:w="234"/>
        <w:gridCol w:w="234"/>
        <w:gridCol w:w="337"/>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 FINANCIAL INFORMATION</w:t>
            </w:r>
          </w:p>
        </w:tc>
        <w:tc>
          <w:tcPr>
            <w:tcW w:w="8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6">
              <w:r>
                <w:rPr>
                  <w:rStyle w:val="InternetLink"/>
                  <w:rFonts w:ascii="Times New Roman;sans-serif" w:hAnsi="Times New Roman;sans-serif"/>
                  <w:b w:val="false"/>
                  <w:color w:val="000000"/>
                  <w:sz w:val="20"/>
                  <w:u w:val="single"/>
                </w:rPr>
                <w:t>Financial Statements (Unaudited)</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9">
              <w:r>
                <w:rPr>
                  <w:rStyle w:val="InternetLink"/>
                  <w:rFonts w:ascii="Times New Roman;sans-serif" w:hAnsi="Times New Roman;sans-serif"/>
                  <w:b w:val="false"/>
                  <w:color w:val="000000"/>
                  <w:sz w:val="20"/>
                  <w:u w:val="single"/>
                </w:rPr>
                <w:t>Condensed Balance Sheets as of June 30, 2024 and December 31, 2023</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9">
              <w:r>
                <w:rPr>
                  <w:rStyle w:val="InternetLink"/>
                  <w:rFonts w:ascii="Times New Roman;sans-serif" w:hAnsi="Times New Roman;sans-serif"/>
                  <w:b w:val="false"/>
                  <w:strike w:val="false"/>
                  <w:dstrike w:val="false"/>
                  <w:color w:val="000000"/>
                  <w:sz w:val="20"/>
                  <w:u w:val="none"/>
                  <w:effect w:val="none"/>
                </w:rPr>
                <w:t>5</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22">
              <w:r>
                <w:rPr>
                  <w:rStyle w:val="InternetLink"/>
                  <w:rFonts w:ascii="Times New Roman;sans-serif" w:hAnsi="Times New Roman;sans-serif"/>
                  <w:b w:val="false"/>
                  <w:color w:val="000000"/>
                  <w:sz w:val="20"/>
                  <w:u w:val="single"/>
                </w:rPr>
                <w:t>Condensed Statements of Operations and Comprehensive (Loss) Income for the three and six months ended June 30, 2024 and 2023</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22">
              <w:r>
                <w:rPr>
                  <w:rStyle w:val="InternetLink"/>
                  <w:rFonts w:ascii="Times New Roman;sans-serif" w:hAnsi="Times New Roman;sans-serif"/>
                  <w:b w:val="false"/>
                  <w:strike w:val="false"/>
                  <w:dstrike w:val="false"/>
                  <w:color w:val="000000"/>
                  <w:sz w:val="20"/>
                  <w:u w:val="none"/>
                  <w:effect w:val="none"/>
                </w:rPr>
                <w:t>6</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25">
              <w:r>
                <w:rPr>
                  <w:rStyle w:val="InternetLink"/>
                  <w:rFonts w:ascii="Times New Roman;sans-serif" w:hAnsi="Times New Roman;sans-serif"/>
                  <w:b w:val="false"/>
                  <w:color w:val="000000"/>
                  <w:sz w:val="20"/>
                  <w:u w:val="single"/>
                </w:rPr>
                <w:t>Condensed Statements of Changes in Stockholders’ Deficit for the three and six months ended June 30, 2024 and 2023</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25">
              <w:r>
                <w:rPr>
                  <w:rStyle w:val="InternetLink"/>
                  <w:rFonts w:ascii="Times New Roman;sans-serif" w:hAnsi="Times New Roman;sans-serif"/>
                  <w:b w:val="false"/>
                  <w:strike w:val="false"/>
                  <w:dstrike w:val="false"/>
                  <w:color w:val="000000"/>
                  <w:sz w:val="20"/>
                  <w:u w:val="none"/>
                  <w:effect w:val="none"/>
                </w:rPr>
                <w:t>7</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31">
              <w:r>
                <w:rPr>
                  <w:rStyle w:val="InternetLink"/>
                  <w:rFonts w:ascii="Times New Roman;sans-serif" w:hAnsi="Times New Roman;sans-serif"/>
                  <w:b w:val="false"/>
                  <w:color w:val="000000"/>
                  <w:sz w:val="20"/>
                  <w:u w:val="single"/>
                </w:rPr>
                <w:t>Condensed Statements of Cash Flows for the six months ended June 30, 2024 and 2023</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31">
              <w:r>
                <w:rPr>
                  <w:rStyle w:val="InternetLink"/>
                  <w:rFonts w:ascii="Times New Roman;sans-serif" w:hAnsi="Times New Roman;sans-serif"/>
                  <w:b w:val="false"/>
                  <w:strike w:val="false"/>
                  <w:dstrike w:val="false"/>
                  <w:color w:val="000000"/>
                  <w:sz w:val="20"/>
                  <w:u w:val="none"/>
                  <w:effect w:val="none"/>
                </w:rPr>
                <w:t>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34">
              <w:r>
                <w:rPr>
                  <w:rStyle w:val="InternetLink"/>
                  <w:rFonts w:ascii="Times New Roman;sans-serif" w:hAnsi="Times New Roman;sans-serif"/>
                  <w:b w:val="false"/>
                  <w:color w:val="000000"/>
                  <w:sz w:val="20"/>
                  <w:u w:val="single"/>
                </w:rPr>
                <w:t>Notes to Unaudited Condensed Financial Statements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34">
              <w:r>
                <w:rPr>
                  <w:rStyle w:val="InternetLink"/>
                  <w:rFonts w:ascii="Times New Roman;sans-serif" w:hAnsi="Times New Roman;sans-serif"/>
                  <w:b w:val="false"/>
                  <w:strike w:val="false"/>
                  <w:dstrike w:val="false"/>
                  <w:color w:val="000000"/>
                  <w:sz w:val="20"/>
                  <w:u w:val="none"/>
                  <w:effect w:val="none"/>
                </w:rPr>
                <w:t>10</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06">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06">
              <w:r>
                <w:rPr>
                  <w:rStyle w:val="InternetLink"/>
                  <w:rFonts w:ascii="Times New Roman;sans-serif" w:hAnsi="Times New Roman;sans-serif"/>
                  <w:b w:val="false"/>
                  <w:strike w:val="false"/>
                  <w:dstrike w:val="false"/>
                  <w:color w:val="000000"/>
                  <w:sz w:val="20"/>
                  <w:u w:val="none"/>
                  <w:effect w:val="none"/>
                </w:rPr>
                <w:t>31</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39">
              <w:r>
                <w:rPr>
                  <w:rStyle w:val="InternetLink"/>
                  <w:rFonts w:ascii="Times New Roman;sans-serif" w:hAnsi="Times New Roman;sans-serif"/>
                  <w:b w:val="false"/>
                  <w:color w:val="000000"/>
                  <w:sz w:val="20"/>
                  <w:u w:val="single"/>
                </w:rPr>
                <w:t>Quantitative and Qualitative Disclosures about Market Risk</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39">
              <w:r>
                <w:rPr>
                  <w:rStyle w:val="InternetLink"/>
                  <w:rFonts w:ascii="Times New Roman;sans-serif" w:hAnsi="Times New Roman;sans-serif"/>
                  <w:b w:val="false"/>
                  <w:strike w:val="false"/>
                  <w:dstrike w:val="false"/>
                  <w:color w:val="000000"/>
                  <w:sz w:val="20"/>
                  <w:u w:val="none"/>
                  <w:effect w:val="none"/>
                </w:rPr>
                <w:t>48</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42">
              <w:r>
                <w:rPr>
                  <w:rStyle w:val="InternetLink"/>
                  <w:rFonts w:ascii="Times New Roman;sans-serif" w:hAnsi="Times New Roman;sans-serif"/>
                  <w:b w:val="false"/>
                  <w:color w:val="000000"/>
                  <w:sz w:val="20"/>
                  <w:u w:val="single"/>
                </w:rPr>
                <w:t>Controls and Procedures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42">
              <w:r>
                <w:rPr>
                  <w:rStyle w:val="InternetLink"/>
                  <w:rFonts w:ascii="Times New Roman;sans-serif" w:hAnsi="Times New Roman;sans-serif"/>
                  <w:b w:val="false"/>
                  <w:strike w:val="false"/>
                  <w:dstrike w:val="false"/>
                  <w:color w:val="000000"/>
                  <w:sz w:val="20"/>
                  <w:u w:val="none"/>
                  <w:effect w:val="none"/>
                </w:rPr>
                <w:t>48</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 OTHER INFORMATION</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48">
              <w:r>
                <w:rPr>
                  <w:rStyle w:val="InternetLink"/>
                  <w:rFonts w:ascii="Times New Roman;sans-serif" w:hAnsi="Times New Roman;sans-serif"/>
                  <w:b w:val="false"/>
                  <w:color w:val="000000"/>
                  <w:sz w:val="20"/>
                  <w:u w:val="single"/>
                </w:rPr>
                <w:t>Legal Proceedings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48">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51">
              <w:r>
                <w:rPr>
                  <w:rStyle w:val="InternetLink"/>
                  <w:rFonts w:ascii="Times New Roman;sans-serif" w:hAnsi="Times New Roman;sans-serif"/>
                  <w:b w:val="false"/>
                  <w:color w:val="000000"/>
                  <w:sz w:val="20"/>
                  <w:u w:val="single"/>
                </w:rPr>
                <w:t>Risk Factors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51">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54">
              <w:r>
                <w:rPr>
                  <w:rStyle w:val="InternetLink"/>
                  <w:rFonts w:ascii="Times New Roman;sans-serif" w:hAnsi="Times New Roman;sans-serif"/>
                  <w:b w:val="false"/>
                  <w:color w:val="000000"/>
                  <w:sz w:val="20"/>
                  <w:u w:val="single"/>
                </w:rPr>
                <w:t>Unregistered Sales of Equity Securities and Use of Proceeds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54">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57">
              <w:r>
                <w:rPr>
                  <w:rStyle w:val="InternetLink"/>
                  <w:rFonts w:ascii="Times New Roman;sans-serif" w:hAnsi="Times New Roman;sans-serif"/>
                  <w:b w:val="false"/>
                  <w:color w:val="000000"/>
                  <w:sz w:val="20"/>
                  <w:u w:val="single"/>
                </w:rPr>
                <w:t>Defaults Upon Senior Securities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57">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60">
              <w:r>
                <w:rPr>
                  <w:rStyle w:val="InternetLink"/>
                  <w:rFonts w:ascii="Times New Roman;sans-serif" w:hAnsi="Times New Roman;sans-serif"/>
                  <w:b w:val="false"/>
                  <w:color w:val="000000"/>
                  <w:sz w:val="20"/>
                  <w:u w:val="single"/>
                </w:rPr>
                <w:t>Mine Safety Disclosures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60">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63">
              <w:r>
                <w:rPr>
                  <w:rStyle w:val="InternetLink"/>
                  <w:rFonts w:ascii="Times New Roman;sans-serif" w:hAnsi="Times New Roman;sans-serif"/>
                  <w:b w:val="false"/>
                  <w:color w:val="000000"/>
                  <w:sz w:val="20"/>
                  <w:u w:val="single"/>
                </w:rPr>
                <w:t>Other Information</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63">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66">
              <w:r>
                <w:rPr>
                  <w:rStyle w:val="InternetLink"/>
                  <w:rFonts w:ascii="Times New Roman;sans-serif" w:hAnsi="Times New Roman;sans-serif"/>
                  <w:b w:val="false"/>
                  <w:color w:val="000000"/>
                  <w:sz w:val="20"/>
                  <w:u w:val="single"/>
                </w:rPr>
                <w:t>Exhibits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66">
              <w:r>
                <w:rPr>
                  <w:rStyle w:val="InternetLink"/>
                  <w:rFonts w:ascii="Times New Roman;sans-serif" w:hAnsi="Times New Roman;sans-serif"/>
                  <w:b w:val="false"/>
                  <w:strike w:val="false"/>
                  <w:dstrike w:val="false"/>
                  <w:color w:val="000000"/>
                  <w:sz w:val="20"/>
                  <w:u w:val="none"/>
                  <w:effect w:val="none"/>
                </w:rPr>
                <w:t>49</w:t>
              </w:r>
            </w:hyperlink>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d0ecab6a65048f78b938d5ad17fd5bd_169">
              <w:r>
                <w:rPr>
                  <w:rStyle w:val="InternetLink"/>
                  <w:rFonts w:ascii="Times New Roman;sans-serif" w:hAnsi="Times New Roman;sans-serif"/>
                  <w:b w:val="false"/>
                  <w:color w:val="000000"/>
                  <w:sz w:val="20"/>
                  <w:u w:val="single"/>
                </w:rPr>
                <w:t>SIGNATURES</w:t>
              </w:r>
            </w:hyperlink>
          </w:p>
        </w:tc>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d0ecab6a65048f78b938d5ad17fd5bd_169">
              <w:r>
                <w:rPr>
                  <w:rStyle w:val="InternetLink"/>
                  <w:rFonts w:ascii="Times New Roman;sans-serif" w:hAnsi="Times New Roman;sans-serif"/>
                  <w:b w:val="false"/>
                  <w:strike w:val="false"/>
                  <w:dstrike w:val="false"/>
                  <w:color w:val="000000"/>
                  <w:sz w:val="20"/>
                  <w:u w:val="none"/>
                  <w:effect w:val="non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following terms, abbreviations and acronyms are used to identify frequently used terms and phrases that may be used in this report (dollar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7"/>
        <w:gridCol w:w="753"/>
        <w:gridCol w:w="747"/>
        <w:gridCol w:w="2357"/>
        <w:gridCol w:w="2270"/>
        <w:gridCol w:w="322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7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DEFINITION</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Notes</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12.5% Senior Secured Notes due 2025</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 Notes</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13.5% Senior Secured Notes</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Asset-based borrowing facility</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ADHD</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deficit hyperactivity disorder </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Adrenaverse™ </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Epinephrine prodrug platform currently comprised of Anaphylm™ and AQST-108</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ALS</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Amyotrophic lateral sclerosis</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ANVISA</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Brazilian Health Regulatory Agency</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Ingredients</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Aquestive</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AQST</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ticker symbol for Aquestive Therapeutics, Inc.</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Assertio Holdings, Inc.</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 Agreement</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Agreement between Aquestive and Otter Pharmaceuticals, LLC, a subsidiary of Assertio Holdings, Inc.</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 facility</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facility for the purchase of AQST Common Stock, then in effect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Indenture</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for the 12.5% Notes</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CNS</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Central Nervous System</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$0.001 per share, of the Company </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Warrants issued with private placement of up to $100,000 aggregate principal of 12.5% Notes originally due 2025</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research organization</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Medicines Agency</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Warrants</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Purchase Warrants with the holder of the remaining 5,000,000 warrants</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the Sunovion License Agreement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Fortovia</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Fortovia Therapeutics Inc. (previously Midatech Pharma PLC)</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Accepted Accounting Principles </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Haisco Pharmaceutical Group Co., Ltd.</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 Agreement</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 Development and Supply Agreement with Haisco, a Chinese limited company listed on the Shenzhen Stock Exchange</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Hypera</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Hypera Pharma</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Agreement</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governing the 13.5% Senior Secured Notes</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Inc. (formerly, Reckitt Benckiser Pharmaceuticals Inc)</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Amendment 11</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11 to the Indivior License Agreement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Indivior License Agreement</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Exploitation Agreement with Reckitt Benckiser Pharmaceuticals, Inc. (with subsequent amendments collectively)</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7848"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Lincoln Park Capital Fund, LLC</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 Purchase Agreement</w:t>
            </w:r>
          </w:p>
        </w:tc>
        <w:tc>
          <w:tcPr>
            <w:tcW w:w="7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with Lincoln Park Capital Fund, LLC</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Marathon</w:t>
            </w:r>
          </w:p>
        </w:tc>
        <w:tc>
          <w:tcPr>
            <w:tcW w:w="7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Marathon Asset Management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48"/>
        <w:gridCol w:w="658"/>
        <w:gridCol w:w="659"/>
        <w:gridCol w:w="2587"/>
        <w:gridCol w:w="2294"/>
        <w:gridCol w:w="3259"/>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59"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and Sale Agreement between Aquestive and Sunovion </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MSSP</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Managed Security Services Provider </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MTPA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Mitsubishi Tanabe Pharma America, Inc. (formerly, Mitsubishi Tanabe Pharma Holdings America, Inc.)</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Meaningful, used in percentage changes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Warrants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to purchase 2,750,000 shares of Common Stock </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Offering</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$45,000 aggregate principal amount of 13.5% Notes due November 1, 2028.</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Pharmacodynamics</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Atnahs Pharma UK Limited, a company registered in England and Wales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Supply Agreement with Atnahs Pharma UK Limited,</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Amendment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License and Supply Agreement with Atnahs Pharma UK Limited as of March 27, 2023</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PK</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Pharmacokinetic</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PTO</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Patent and Trademark Office</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PDUFA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User Fee Act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Pre-IND</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Pre-Investigational New Drug</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Royalty Rights Agreements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 component of 13.5% Senior Secured Notes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 with certain purchasers entered into on June 6, 2022</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Separation Agreement, including a Consulting Agreement with Keith J. Kendall</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Sunovion Pharmaceuticals Inc</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 License Agreement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KYNMOBI Commercialization Agreement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Territory</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countries of the European Union, the United Kingdom, Switzerland, Norway and the Middle East and North Africa under the Pharmanovia Agreement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TEVA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 Pharmaceuticals USA, Inc.</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TGA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Government Department of Health’s Therapeutics Goods Administration</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Underwritten Public Offering</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raise of gross proceeds of $77,519, including partial exercise of the underwriters' option for $2,519</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Zambon</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Zambon S.p.A.</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Zevra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    FINANCIAL STATEMENTS </w:t>
      </w:r>
      <w:r>
        <w:rPr>
          <w:rFonts w:ascii="Times New Roman;sans-serif" w:hAnsi="Times New Roman;sans-serif"/>
          <w:b/>
          <w:i/>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6"/>
        <w:gridCol w:w="2367"/>
        <w:gridCol w:w="2329"/>
        <w:gridCol w:w="211"/>
        <w:gridCol w:w="826"/>
        <w:gridCol w:w="109"/>
        <w:gridCol w:w="109"/>
        <w:gridCol w:w="109"/>
        <w:gridCol w:w="109"/>
        <w:gridCol w:w="230"/>
        <w:gridCol w:w="789"/>
        <w:gridCol w:w="171"/>
      </w:tblGrid>
      <w:tr>
        <w:trPr/>
        <w:tc>
          <w:tcPr>
            <w:tcW w:w="2846"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5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payable,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Contingencies (Note 19)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Authorized 250,000,000 shares; 91,059,760 and 68,533,085 shares issued and outstanding at June 30,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Operations and Comprehensive (Loss)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0"/>
        <w:gridCol w:w="1353"/>
        <w:gridCol w:w="1361"/>
        <w:gridCol w:w="244"/>
        <w:gridCol w:w="837"/>
        <w:gridCol w:w="115"/>
        <w:gridCol w:w="115"/>
        <w:gridCol w:w="115"/>
        <w:gridCol w:w="115"/>
        <w:gridCol w:w="244"/>
        <w:gridCol w:w="837"/>
        <w:gridCol w:w="115"/>
        <w:gridCol w:w="109"/>
        <w:gridCol w:w="109"/>
        <w:gridCol w:w="109"/>
        <w:gridCol w:w="240"/>
        <w:gridCol w:w="841"/>
        <w:gridCol w:w="109"/>
        <w:gridCol w:w="109"/>
        <w:gridCol w:w="109"/>
        <w:gridCol w:w="109"/>
        <w:gridCol w:w="244"/>
        <w:gridCol w:w="837"/>
        <w:gridCol w:w="159"/>
      </w:tblGrid>
      <w:tr>
        <w:trPr/>
        <w:tc>
          <w:tcPr>
            <w:tcW w:w="167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(Loss) earnings per share attributable to common stockholders:</w:t>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 dollars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 dollars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57,350,902 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56,494,805 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90,911,626 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57,350,902 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58,938,222 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Changes in Stockholders’ Deficit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June 30, 2024 and June 30,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85"/>
        <w:gridCol w:w="885"/>
        <w:gridCol w:w="895"/>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13"/>
        <w:gridCol w:w="903"/>
        <w:gridCol w:w="161"/>
      </w:tblGrid>
      <w:tr>
        <w:trPr/>
        <w:tc>
          <w:tcPr>
            <w:tcW w:w="13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Deficit</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68,533,085 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4,557,220 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16,666,667 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90,478,731 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91,059,760 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before="10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5"/>
        <w:gridCol w:w="955"/>
        <w:gridCol w:w="961"/>
        <w:gridCol w:w="540"/>
        <w:gridCol w:w="541"/>
        <w:gridCol w:w="226"/>
        <w:gridCol w:w="111"/>
        <w:gridCol w:w="111"/>
        <w:gridCol w:w="111"/>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14"/>
        <w:gridCol w:w="906"/>
        <w:gridCol w:w="158"/>
      </w:tblGrid>
      <w:tr>
        <w:trPr/>
        <w:tc>
          <w:tcPr>
            <w:tcW w:w="124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Deficit</w:t>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54,827,734 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55,922,361 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warrant exercises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3,689,452 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1,981,937 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61,615,959 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tbl>
      <w:tblPr>
        <w:tblW w:w="9384" w:type="dxa"/>
        <w:jc w:val="left"/>
        <w:tblInd w:w="0" w:type="dxa"/>
        <w:tblLayout w:type="fixed"/>
        <w:tblCellMar>
          <w:top w:w="28" w:type="dxa"/>
          <w:left w:w="28" w:type="dxa"/>
          <w:bottom w:w="28" w:type="dxa"/>
          <w:right w:w="28" w:type="dxa"/>
        </w:tblCellMar>
      </w:tblPr>
      <w:tblGrid>
        <w:gridCol w:w="2484"/>
        <w:gridCol w:w="2178"/>
        <w:gridCol w:w="2193"/>
        <w:gridCol w:w="211"/>
        <w:gridCol w:w="796"/>
        <w:gridCol w:w="109"/>
        <w:gridCol w:w="109"/>
        <w:gridCol w:w="109"/>
        <w:gridCol w:w="109"/>
        <w:gridCol w:w="211"/>
        <w:gridCol w:w="721"/>
        <w:gridCol w:w="154"/>
      </w:tblGrid>
      <w:tr>
        <w:trPr/>
        <w:tc>
          <w:tcPr>
            <w:tcW w:w="2484"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used for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contract termination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public equity offering, net - ATM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public equity offering,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and exercise of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shares issued under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 principal including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paid to retire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on share-based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and per share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    Company Overview and Basis of Presentation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 Company Overview</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Aquestive Therapeutics, Inc.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a proprietary commercial product, Libervant™ (epinephrine) Buccal Film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that are distinct from a patient’s usual seizure pattern in patients with epilepsy between two and five years of age, which was launched in April 2024. The Company is advancing a product pipeline for the treatment of severe allergic reactions, including anaphylaxis, under the trade name "Anaphylm™", and its Adrenaverse epinephrine prodrug pipeline platform.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 Equity Transactions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Offering of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established its first ATM facility in September 2019, and since inception to June 30, 2024, the Company has sold 19,857,518 shares of Common Stock which has generated net cash proceeds of approximately $60,558, net of commissions and other transactions costs of $3,085. On April 3, 2024, the Company filed a new shelf registration statement on Form S-3 to register the offer and sale of up to $250,000 worth of shares of Common Stock ("Registration Statement No. 333-278498" or the "2024 Registration Statement"), that was declared effective by the SEC on April 23, 2024. Included as part of the 2024 Registration Statement was a $100,000 ATM facility pursuant to the Amended Equity Distribution Agreement with Piper Sandler &amp; Co. (successor to Piper Jaffray &amp; Co.).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there were no shares of Common Stock sold under the ATM facility. For the six months ended June 30, 2024, the Company sold 4,557,220 shares of Common Stock under the ATM facility which provided net proceeds of approximately $11,855 after deducting commissions and other transaction costs of $530. For the six months ended June 30, 2023, the Company sold 3,060,559 shares under the ATM facility which provided net proceeds of approximately $5,090 after deducting commissions and other transaction costs of $312.</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April 12, 2022, the Company entered into the Lincoln Park Purchase Agreement,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In 2022, the Company sold 1,600,000 shares, in addition to 236,491 commitment shares, which provided proceeds of approximately $1,987 in connection with the Lincoln Park Purchase Agreement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Company did not sell shares in connection with the Lincoln Park Purchase Agreement in 2023 or for the six months ended June 30, 2024. The Company has no current intent to use the Lincoln Park facility.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2024, the Company completed the Underwritten Public Offering of 16,666,667 shares of its common stock at the public offering price of $4.50 per share. In addition, pursuant to the partial exercise of the underwriters' option, on April 22, 2024, the Company sold an additional 559,801 shares of Common Stock. Net proceeds from the Underwritten Public Offering, including the exercise of underwriters' option were $72,868, after deducting underwriting discounts of $4,651. In addition to the underwriting discounts related to this offering, the Company incurred professional fees and other costs totaled $894 as of June 30, 2024.</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 Basis of Presentation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unaudited condensed financial statements were prepared in conformity with U.S. GAAP and with Article 10 of Regulation S-X for interim financial reporting. In compliance with those rules, certain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footnote disclosures normally included in annual financial statements prepared in accordance with U.S. GAAP have been condensed or omitted. These condensed financial statements should be read in conjunction with the Company’s audited consolidated financial statements and related notes for the fiscal year ended December 31, 2023 included in the Company’s Annual Report on Form 10-K filed with the SEC on March 5, 2024 (the “2023 Annual Report on Form 10-K”). As included herein, the Condensed Balance Sheet as of December 31, 2023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these notes to applicable guidance refers to the authoritative U.S. GAAP as found in the ASC and ASU of FASB.</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dissolved its subsidiaries and no longer prepares its financial statements on a consolidated basis. The dissolution of the subsidiaries did not have a material impact on the Company’s unaudited condensed financial statements as of June 30, 2024 or the audited consolidated financial statements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 Recent Accounting Pronouncements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is no longer an “emerging growth company,” but remains a “smaller reporting company”. The Company complies with new or revised accounting standards by the relevant dates on which adoption of such standards is required for smaller reporting companies.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 as of June 30, 2024:</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xml:space="preserve">.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condensed financial statements.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This Accounting Standards Update was issued to clarify the guidance in Topic 820, Fair Value Measurement, when 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condensed financial statements.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Adopted as of June 30, 2024:</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December 2023, the FASB issued ASU 2023-09—</w:t>
      </w:r>
      <w:r>
        <w:rPr>
          <w:rFonts w:ascii="Times New Roman;sans-serif" w:hAnsi="Times New Roman;sans-serif"/>
          <w:b w:val="false"/>
          <w:i/>
          <w:color w:val="000000"/>
          <w:sz w:val="20"/>
        </w:rPr>
        <w:t xml:space="preserve">Income Taxes (Topic 740)—Improvements to Income Tax Disclosures. </w:t>
      </w:r>
      <w:r>
        <w:rPr>
          <w:rFonts w:ascii="Times New Roman;sans-serif" w:hAnsi="Times New Roman;sans-serif"/>
          <w:b w:val="false"/>
          <w:color w:val="000000"/>
          <w:sz w:val="20"/>
        </w:rPr>
        <w:t xml:space="preserve">This Accounting Standards Update was issued to enhance the transparency and decision usefulness of income tax 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beginning January 1, 2025, with early adoption of the amendments permitted. The Company is currently evaluating the impact from the adoption of ASU 2023-09 on disclosures to its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3.    Risks and Uncertainties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liquidity in terms of its ability to generate cash to fund its operating, investing and financing activities. The Company’s cash requirements for 2024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June 30, 2024, the Company had $89,870 of cash and cash equivalents.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has experienced a history of net losses. The Company’s accumulated deficits totaled $334,650 as of June 30, 2024. The net losses and accumulated deficits were partially offset by gross margins from sales of commercialized licensed and proprietary products (prior to the licensing agreement of Sympazan with Assertio in October 2022), license fees, milestone and royalty payments from commercial licensees and co-development parties. The Company’s funding requirements have been met by its cash and cash equivalents, as well as its equity and debt offerings, including the 13.5% Senior Secured Notes as further discussed in Note 13,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the ATM facility and other equity offerings, including the Underwritten Public Offering.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and under the Lincoln Park Purchase Agreement, provide near term liquidity for the Company to fund its operating needs for at least the next twelve months as it continues to execute its business strategy.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Revenues and Trade Receivables,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include (i) sales of manufactured products pursuant to contracts with commercialization licensees, (ii) license and royalty revenues, and (iii)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or invoices.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Manufacture and supply revenue</w:t>
      </w:r>
      <w:r>
        <w:rPr>
          <w:color w:val="000000"/>
        </w:rPr>
        <w:t xml:space="preserve"> – </w:t>
      </w:r>
      <w:r>
        <w:rPr>
          <w:rFonts w:ascii="Times New Roman;sans-serif" w:hAnsi="Times New Roman;sans-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License and Royalty Revenu</w:t>
      </w:r>
      <w:r>
        <w:rPr>
          <w:rFonts w:ascii="Times New Roman;sans-serif" w:hAnsi="Times New Roman;sans-serif"/>
          <w:b w:val="false"/>
          <w:color w:val="000000"/>
          <w:sz w:val="20"/>
        </w:rPr>
        <w:t xml:space="preserve">e – 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Co-development and Research Fees</w:t>
      </w:r>
      <w:r>
        <w:rPr>
          <w:color w:val="000000"/>
        </w:rPr>
        <w:t xml:space="preserve"> – </w:t>
      </w:r>
      <w:r>
        <w:rPr>
          <w:rFonts w:ascii="Times New Roman;sans-serif" w:hAnsi="Times New Roman;sans-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20"/>
        </w:rPr>
        <w:t>e.g</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Contract Assets</w:t>
      </w:r>
      <w:r>
        <w:rPr>
          <w:color w:val="000000"/>
        </w:rPr>
        <w:t xml:space="preserve"> </w:t>
      </w:r>
      <w:r>
        <w:rPr>
          <w:rFonts w:ascii="Times New Roman;sans-serif" w:hAnsi="Times New Roman;sans-serif"/>
          <w:b w:val="false"/>
          <w:color w:val="000000"/>
          <w:sz w:val="20"/>
        </w:rPr>
        <w:t>-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June 30, 2024, and December 31, 2023, such contract assets were $601 and $1,662, respectively, consisting primarily of products and services provided under specific contracts to customers for which earnings processes have been met prior to shipment of goods or full delivery of completed services, as well as estimated receivables from contracts with 3rd parties.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Contract Liabilities</w:t>
      </w:r>
      <w:r>
        <w:rPr>
          <w:color w:val="000000"/>
        </w:rPr>
        <w:t xml:space="preserve"> </w:t>
      </w:r>
      <w:r>
        <w:rPr>
          <w:rFonts w:ascii="Times New Roman;sans-serif" w:hAnsi="Times New Roman;sans-serif"/>
          <w:b w:val="false"/>
          <w:color w:val="000000"/>
          <w:sz w:val="20"/>
        </w:rPr>
        <w:t>-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June 30, 2024 and December 31, 2023, such contract liabilities were $22,803 and $33,896, respectively.</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Costs to obtain contracts</w:t>
      </w:r>
      <w:r>
        <w:rPr>
          <w:color w:val="000000"/>
        </w:rPr>
        <w:t xml:space="preserve"> </w:t>
      </w:r>
      <w:r>
        <w:rPr>
          <w:rFonts w:ascii="Times New Roman;sans-serif" w:hAnsi="Times New Roman;sans-serif"/>
          <w:b w:val="false"/>
          <w:color w:val="000000"/>
          <w:sz w:val="20"/>
        </w:rPr>
        <w:t>- in certain situations, the Company may incur incremental costs of obtaining a contract with a customer. These costs, if expected to be recovered, are recognized as an asset and reflected as other assets within the Condensed Balance Sheets. The asset is amortized on a systematic basis that is consistent with the transfer to the customer of the goods or services to which the asset relates. As of June 30, 2024 and December 31, 2023, such costs to obtain contracts were $496 and $715, respectively.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were comprised of the following:</w:t>
      </w:r>
    </w:p>
    <w:tbl>
      <w:tblPr>
        <w:tblW w:w="8296" w:type="dxa"/>
        <w:jc w:val="left"/>
        <w:tblInd w:w="0" w:type="dxa"/>
        <w:tblLayout w:type="fixed"/>
        <w:tblCellMar>
          <w:top w:w="28" w:type="dxa"/>
          <w:left w:w="28" w:type="dxa"/>
          <w:bottom w:w="28" w:type="dxa"/>
          <w:right w:w="28" w:type="dxa"/>
        </w:tblCellMar>
      </w:tblPr>
      <w:tblGrid>
        <w:gridCol w:w="1049"/>
        <w:gridCol w:w="922"/>
        <w:gridCol w:w="92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disaggregated net revenue by geographic area: </w:t>
      </w:r>
    </w:p>
    <w:tbl>
      <w:tblPr>
        <w:tblW w:w="6886" w:type="dxa"/>
        <w:jc w:val="left"/>
        <w:tblInd w:w="0" w:type="dxa"/>
        <w:tblLayout w:type="fixed"/>
        <w:tblCellMar>
          <w:top w:w="28" w:type="dxa"/>
          <w:left w:w="28" w:type="dxa"/>
          <w:bottom w:w="28" w:type="dxa"/>
          <w:right w:w="28" w:type="dxa"/>
        </w:tblCellMar>
      </w:tblPr>
      <w:tblGrid>
        <w:gridCol w:w="539"/>
        <w:gridCol w:w="472"/>
        <w:gridCol w:w="47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Ex-United States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United States revenues were derived primarily from Indivior (Manufacture and supply revenue, Royalties and Co-development and research fees), MTPA (milestone revenue that was previously recorded as deferred revenue and now recognized due to the termination of the contract), and Assertio (Manufacture and supply revenue, Royalties and Co-development and research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ex-United States revenues were derived primarily from Indivior (Manufacture and supply revenue, Royalties and Co-development and research fees), Haisco (an upfront payment received in September 2022 that was previously recorded as deferred revenue and now recognized due to the termination of the contract), and Hypera (Manufacture and supply revenue) for revenue markets outside of the United States.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United States revenues were derived primarily from Indivior (Manufacture and supply revenue, Royalties and Co-development and research fees), Assertio (Manufacture and supply revenue, Royalties and Co-development and research fees), and Zevra (License and royalty revenue).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ex-United States revenues were derived primarily from Indivior (Manufacture and supply revenue, Royalties and Co-development and research fees), and Hypera (Manufacture and supply revenue).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 consist of the following:</w:t>
      </w:r>
    </w:p>
    <w:tbl>
      <w:tblPr>
        <w:tblW w:w="5762" w:type="dxa"/>
        <w:jc w:val="left"/>
        <w:tblInd w:w="0" w:type="dxa"/>
        <w:tblLayout w:type="fixed"/>
        <w:tblCellMar>
          <w:top w:w="28" w:type="dxa"/>
          <w:left w:w="28" w:type="dxa"/>
          <w:bottom w:w="28" w:type="dxa"/>
          <w:right w:w="28" w:type="dxa"/>
        </w:tblCellMar>
      </w:tblPr>
      <w:tblGrid>
        <w:gridCol w:w="1156"/>
        <w:gridCol w:w="1018"/>
        <w:gridCol w:w="1020"/>
        <w:gridCol w:w="211"/>
        <w:gridCol w:w="616"/>
        <w:gridCol w:w="109"/>
        <w:gridCol w:w="109"/>
        <w:gridCol w:w="109"/>
        <w:gridCol w:w="109"/>
        <w:gridCol w:w="280"/>
        <w:gridCol w:w="819"/>
        <w:gridCol w:w="206"/>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doubtful accounts:</w:t>
      </w:r>
    </w:p>
    <w:tbl>
      <w:tblPr>
        <w:tblW w:w="7375" w:type="dxa"/>
        <w:jc w:val="left"/>
        <w:tblInd w:w="0" w:type="dxa"/>
        <w:tblLayout w:type="fixed"/>
        <w:tblCellMar>
          <w:top w:w="28" w:type="dxa"/>
          <w:left w:w="28" w:type="dxa"/>
          <w:bottom w:w="28" w:type="dxa"/>
          <w:right w:w="28" w:type="dxa"/>
        </w:tblCellMar>
      </w:tblPr>
      <w:tblGrid>
        <w:gridCol w:w="1788"/>
        <w:gridCol w:w="1568"/>
        <w:gridCol w:w="1578"/>
        <w:gridCol w:w="235"/>
        <w:gridCol w:w="453"/>
        <w:gridCol w:w="121"/>
        <w:gridCol w:w="109"/>
        <w:gridCol w:w="109"/>
        <w:gridCol w:w="109"/>
        <w:gridCol w:w="379"/>
        <w:gridCol w:w="649"/>
        <w:gridCol w:w="277"/>
      </w:tblGrid>
      <w:tr>
        <w:trPr/>
        <w:tc>
          <w:tcPr>
            <w:tcW w:w="178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at beginning of the period</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expense (reduction)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at end of the period</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 of Major Customers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Customers are considered major customers when net revenue exceeds 10% of total revenue for the period or outstanding receivable balances exceed 10% of total receivables. For the six months ended June 30, 2024, Indivior, Haisco, and MTPA represented approximately 54%, 22%, and 11% of total revenue, including the one-time recognition of deferred revenue, respectively. As of June 30, 2024, Indivior and Hypera exceeded the 10% threshold for outstanding receivable balances and represented approximately 58% and 11% of outstanding receivables, respectively. For the six months ended June 30, 2023, Indivior and Hypera </w:t>
      </w:r>
      <w:r>
        <w:rPr>
          <w:rFonts w:ascii="Times New Roman;sans-serif" w:hAnsi="Times New Roman;sans-serif"/>
          <w:b w:val="false"/>
          <w:color w:val="000000"/>
          <w:sz w:val="20"/>
          <w:shd w:fill="FFFFFF" w:val="clear"/>
        </w:rPr>
        <w:t>represented approximately 74% and 14% of total revenue, respectively. As of December 31, 2023,</w:t>
      </w:r>
      <w:r>
        <w:rPr>
          <w:color w:val="000000"/>
        </w:rPr>
        <w:t xml:space="preserve"> </w:t>
      </w:r>
      <w:r>
        <w:rPr>
          <w:rFonts w:ascii="Times New Roman;sans-serif" w:hAnsi="Times New Roman;sans-serif"/>
          <w:b w:val="false"/>
          <w:color w:val="000000"/>
          <w:sz w:val="20"/>
        </w:rPr>
        <w:t>Indivior and Zevra Therapeutics, Inc. represented 65% and 13% of total trade and other receivables,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Material Agreements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Commercial Exploitation Agreement with Indivior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2008, the Company entered into the Indivior License Agreement (with subsequent amendments) with Reckitt Benckiser Pharmaceuticals, Inc. which was later succeeded to in interest by Indivior. Pursuant to the Indivior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Agreement, the Company agreed to manufacture and supply Indivior’s requirements for Suboxone</w:t>
      </w:r>
      <w:r>
        <w:rPr>
          <w:rFonts w:ascii="Times New Roman;sans-serif" w:hAnsi="Times New Roman;sans-serif"/>
          <w:b w:val="false"/>
          <w:color w:val="000000"/>
          <w:sz w:val="13"/>
        </w:rPr>
        <w:t>®</w:t>
      </w:r>
      <w:r>
        <w:rPr>
          <w:rFonts w:ascii="Times New Roman;sans-serif" w:hAnsi="Times New Roman;sans-serif"/>
          <w:b w:val="false"/>
          <w:color w:val="000000"/>
          <w:sz w:val="20"/>
        </w:rPr>
        <w:t>, a sublingual film formulation, both inside and outside the United States on an exclusive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 year periods.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2, 2023, the Company and Indivior entered into the Indivior Agreement to the Indivior License Amendment.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 During the six months ended June 30, 2023, in consideration of the agreements between the parties, the Company received a payment of $11,482 from Indivior, of which amount $5,482 represented: (a) payment of the portion of a 2022 price increase that had not been previously paid and (b) an estimated payment in 2023 for certain price increases. During the six months ended June 30, 2023, the Company recognized $3,030, of which $1,682 was related to the 2022 price increases, in Manufacture and supply revenue and $6,000 in Interest income and other income, net on the Condensed Statements of Operations and Comprehensive (Loss) Income. As of December 31, 2023, the $5,482 price increase had been fully recognized in Manufacture and supply revenue; there were no retroactive price adjustments included in Manufacture and supply revenue for the six months ended June 30,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Supplemental Agreement with Indivior</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is finalized. No further payments are due to the Company under the Indivior Supplemental Agreement. See Note 19,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for details.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payments made by Indivior to the Company pursuant to the Indivior Supplemental Agreement were in addition to, and not in place of, any amounts owed by Indivior to the Company pursuant to the Indivior License Agreement.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License Agreement with Sunovion Pharmaceuticals,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16, 2020, the Company entered into the First Amendment to the Sunovion License Agreement. The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Purchase and Sale Agreement with an affiliate of Marathon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June 30, 2024 under the Monetization Agreement.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the accounting for the Monetization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Agreement to Terminate CLA with Zevra Therapeutics, Inc. (formerly KemPharm)</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Zevra’s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and Supply Agreement with Haisco for Exservan™ (Riluzole Oral Film) for ALS Treatment in China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the Haisco Agreement with Haisco, a Chinese limited company listed on the Shenzhen Stock Exchange,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milestone payments and double-digit royalties on net sales of Exservan in China and earn manufacturing revenue upon the sale of Exservan in China. In June 2024, the Haisco Agreement was terminated and the Company will not receive any contingent payments under the Haisco Agreement. The termination agreement released all parties from any existing or ongoing obligations. Commissions of $134 that had been capitalized were expensed immediately in Selling, general, and administrative expenses on the Condensed Statements of Operations and Comprehensive (Loss) Income. The Company recognized deferred revenue of $7,000 for the upfront payment received in September 2022 on the Company's condensed financial statements for the three and six months ended June 30,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Compensatory Arrangements of Certain Officers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dated as of May 17, 2022. Under the Separation Agreement, in addition to other severance benefits already received by Mr. Kendall in 2022, Mr. Kendall received a monthly severance payment for eighteen months following the Termination Date, or November 22, 2023. During the first quarter of 2023, net severance payments made to Mr. Kendall totaled approximately $274. By the end of December 31, 2023, all payments due to Mr. Kendall were made.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and Supply Agreement with Atnahs Pharma UK Limited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(as defined in the Pharmanovia Agreement)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includes Latin America, Africa and Asia Pacific. Pursuant to the terms of the Pharmanovia Amendment, the Company received a non-refundable payment of $2,000 from Pharmanovia in connection with the execution of the Pharmanovia Amendment.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Agreement with Assertio Holdings, Inc.</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Effective as of October 26, 2022, the Company entered into the Assertio Agreement to license Sympazan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Agreement with Mitsubishi Tanabe Pharma America,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announced that Aquestive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the limited post-termination obligations). Upon termination, deferred revenue of $3,317 was recognized for milestone payments that had been received. Commissions of $57 that had been capitalized were expensed immediately in Selling, general, and administrative expenses on the Condensed Statements of Operations and Comprehensive (Loss) Income for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Financial Instruments – Fair Value Measurements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1 — Observable quoted prices in active markets for identical assets or liabilities.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Company’s 12.5% Senior Secured Notes contained a repurchase offer or put option which gave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in connection with the issuance of the 13.5% Notes, the Company and the Note Holders entered into the Royalty Right Agreements dated as of November 1, 2023, which provided the Note Holders: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Those Royalty Agreements were valued based on Level 3 inputs and their fair value was based primarily on internal management estimates developed based on third-party data and reflect management’s judgements, the then current market conditions, and forecasts. The initial fair value measurement of the Royalty Right Agreements was determined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 xml:space="preserve">significant unobservable inputs, including the discount rate, estimated probabilities of success, and the estimated amount of future sales of Anaphylm and Libervant. See Note 13,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7.    Inventories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4248" w:type="dxa"/>
        <w:jc w:val="left"/>
        <w:tblInd w:w="0" w:type="dxa"/>
        <w:tblLayout w:type="fixed"/>
        <w:tblCellMar>
          <w:top w:w="28" w:type="dxa"/>
          <w:left w:w="28" w:type="dxa"/>
          <w:bottom w:w="28" w:type="dxa"/>
          <w:right w:w="28" w:type="dxa"/>
        </w:tblCellMar>
      </w:tblPr>
      <w:tblGrid>
        <w:gridCol w:w="609"/>
        <w:gridCol w:w="533"/>
        <w:gridCol w:w="538"/>
        <w:gridCol w:w="211"/>
        <w:gridCol w:w="616"/>
        <w:gridCol w:w="109"/>
        <w:gridCol w:w="109"/>
        <w:gridCol w:w="109"/>
        <w:gridCol w:w="109"/>
        <w:gridCol w:w="280"/>
        <w:gridCol w:w="819"/>
        <w:gridCol w:w="206"/>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material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8.     Property and Equipment, Net</w:t>
      </w:r>
    </w:p>
    <w:tbl>
      <w:tblPr>
        <w:tblW w:w="8053" w:type="dxa"/>
        <w:jc w:val="left"/>
        <w:tblInd w:w="0" w:type="dxa"/>
        <w:tblLayout w:type="fixed"/>
        <w:tblCellMar>
          <w:top w:w="28" w:type="dxa"/>
          <w:left w:w="28" w:type="dxa"/>
          <w:bottom w:w="28" w:type="dxa"/>
          <w:right w:w="28" w:type="dxa"/>
        </w:tblCellMar>
      </w:tblPr>
      <w:tblGrid>
        <w:gridCol w:w="1487"/>
        <w:gridCol w:w="1307"/>
        <w:gridCol w:w="1315"/>
        <w:gridCol w:w="314"/>
        <w:gridCol w:w="314"/>
        <w:gridCol w:w="316"/>
        <w:gridCol w:w="109"/>
        <w:gridCol w:w="109"/>
        <w:gridCol w:w="109"/>
        <w:gridCol w:w="211"/>
        <w:gridCol w:w="721"/>
        <w:gridCol w:w="109"/>
        <w:gridCol w:w="109"/>
        <w:gridCol w:w="109"/>
        <w:gridCol w:w="109"/>
        <w:gridCol w:w="253"/>
        <w:gridCol w:w="867"/>
        <w:gridCol w:w="185"/>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w:t>
              <w:br/>
              <w:t>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network equipment and software</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Leasehold improvements are amortized over the shorter of the lease term or their estimated useful lives.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amortization, and impairment related to property and equipment was $165 and $250 for the three months ended June 30, 2024 and 2023, respectively. For the respective six month periods, these expenses totaled $333 and $536.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Right-of-Use Assets and Lease Obligations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which require classification as financing leases and, accordingly, these leases are accounted for as operating leases. These leases, as amended, provide remaining terms between 3.8 years and 9.3 years, including renewal options expected to be exercised to extend the lease periods.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recognized a lease supporting its manufacturing facilities as a finance lease. Commitments under finance leases are not significant, and are included in Property and equipment, net, and Notes payable, net on the Condensed Balance Sheets.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a right-to 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costs are recorded in manufacture and supply, research and development and selling, general and administrative expenses in its Condensed Statements of Operations and Comprehensive (Loss) Income. For the three and six months ended June 30, 2024, total operating lease expenses totaled $444 and $888, respectively, including variable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expenses such as common area maintenance and operating costs of $111 and $226, respectively. For the three and six months ended June 30, 2023, total operating lease expenses totaled $452 and $870, respectively, including variable lease expenses such as common area maintenance and operating costs of $121 and $229, respectively.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payments due under its operating leases are as follows: </w:t>
      </w:r>
    </w:p>
    <w:tbl>
      <w:tblPr>
        <w:tblW w:w="3635" w:type="dxa"/>
        <w:jc w:val="left"/>
        <w:tblInd w:w="0" w:type="dxa"/>
        <w:tblLayout w:type="fixed"/>
        <w:tblCellMar>
          <w:top w:w="28" w:type="dxa"/>
          <w:left w:w="28" w:type="dxa"/>
          <w:bottom w:w="28" w:type="dxa"/>
          <w:right w:w="28" w:type="dxa"/>
        </w:tblCellMar>
      </w:tblPr>
      <w:tblGrid>
        <w:gridCol w:w="960"/>
        <w:gridCol w:w="844"/>
        <w:gridCol w:w="850"/>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10.    Intangible Assets,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identifiable intangible assets, all of which are finite lived:</w:t>
      </w:r>
    </w:p>
    <w:tbl>
      <w:tblPr>
        <w:tblW w:w="5267" w:type="dxa"/>
        <w:jc w:val="left"/>
        <w:tblInd w:w="0" w:type="dxa"/>
        <w:tblLayout w:type="fixed"/>
        <w:tblCellMar>
          <w:top w:w="28" w:type="dxa"/>
          <w:left w:w="28" w:type="dxa"/>
          <w:bottom w:w="28" w:type="dxa"/>
          <w:right w:w="28" w:type="dxa"/>
        </w:tblCellMar>
      </w:tblPr>
      <w:tblGrid>
        <w:gridCol w:w="978"/>
        <w:gridCol w:w="860"/>
        <w:gridCol w:w="861"/>
        <w:gridCol w:w="211"/>
        <w:gridCol w:w="616"/>
        <w:gridCol w:w="109"/>
        <w:gridCol w:w="109"/>
        <w:gridCol w:w="109"/>
        <w:gridCol w:w="109"/>
        <w:gridCol w:w="280"/>
        <w:gridCol w:w="819"/>
        <w:gridCol w:w="20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patent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Amortization expense was $39 for each of the three-month periods ended June 30, 2024 and 2023. For each of the corresponding six-month periods, these expenses totaled $78. In connection with a termination of an agreement, the Company recorded a gain on termination of the contract in the amount of $1,500, which was partially offset by an adjustment to the remaining balance of $1,200 of the intangible asset. The net gain of $300 was recorded within Other income, net on the Condensed Statements of Operations and Comprehensive (Loss) Income for the three and six month periods ended June 30, 2024. See Note 5, </w:t>
      </w:r>
      <w:r>
        <w:rPr>
          <w:rFonts w:ascii="Times New Roman;sans-serif" w:hAnsi="Times New Roman;sans-serif"/>
          <w:b w:val="false"/>
          <w:i/>
          <w:color w:val="000000"/>
          <w:sz w:val="20"/>
        </w:rPr>
        <w:t>Material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Other Non-current Assets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other non-current assets:</w:t>
      </w:r>
    </w:p>
    <w:tbl>
      <w:tblPr>
        <w:tblW w:w="5088" w:type="dxa"/>
        <w:jc w:val="left"/>
        <w:tblInd w:w="0" w:type="dxa"/>
        <w:tblLayout w:type="fixed"/>
        <w:tblCellMar>
          <w:top w:w="28" w:type="dxa"/>
          <w:left w:w="28" w:type="dxa"/>
          <w:bottom w:w="28" w:type="dxa"/>
          <w:right w:w="28" w:type="dxa"/>
        </w:tblCellMar>
      </w:tblPr>
      <w:tblGrid>
        <w:gridCol w:w="913"/>
        <w:gridCol w:w="802"/>
        <w:gridCol w:w="805"/>
        <w:gridCol w:w="211"/>
        <w:gridCol w:w="616"/>
        <w:gridCol w:w="109"/>
        <w:gridCol w:w="109"/>
        <w:gridCol w:w="109"/>
        <w:gridCol w:w="109"/>
        <w:gridCol w:w="280"/>
        <w:gridCol w:w="819"/>
        <w:gridCol w:w="20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ans-serif" w:hAnsi="Times New Roman;sans-serif"/>
          <w:b w:val="false"/>
          <w:i/>
          <w:color w:val="000000"/>
          <w:sz w:val="20"/>
        </w:rPr>
        <w:t>Transfer and Servicing</w:t>
      </w:r>
      <w:r>
        <w:rPr>
          <w:color w:val="000000"/>
        </w:rPr>
        <w:t xml:space="preserve"> </w:t>
      </w:r>
      <w:r>
        <w:rPr>
          <w:rFonts w:ascii="Times New Roman;sans-serif" w:hAnsi="Times New Roman;sans-serif"/>
          <w:b w:val="false"/>
          <w:color w:val="000000"/>
          <w:sz w:val="20"/>
        </w:rPr>
        <w:t xml:space="preserve">to determine whether the existing receivable was transferred to Marathon and concluded it was not transferred. As of June 30, 2024 and December 31, 2023, Royalty receivable consists of four and five, respectively, annual minimum payments due from Sunovion, the last of which is due in March 2028. The current portion of the royalty receivable is included in Trade and other receivables, net.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how this receivable relates to the Monetization Agreement transaction.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commissions of $191 that had been capitalized under ASC 340 as part of licensing and supply agreements and had been recorded within Other non-current assets on the Condensed Balance Sheet were expensed in Selling, general, and administrative expenses on the Condensed Statements of Operations and Comprehensive (Loss) Income due to the termination of these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12.    Accrued Expenses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7353" w:type="dxa"/>
        <w:jc w:val="left"/>
        <w:tblInd w:w="0" w:type="dxa"/>
        <w:tblLayout w:type="fixed"/>
        <w:tblCellMar>
          <w:top w:w="28" w:type="dxa"/>
          <w:left w:w="28" w:type="dxa"/>
          <w:bottom w:w="28" w:type="dxa"/>
          <w:right w:w="28" w:type="dxa"/>
        </w:tblCellMar>
      </w:tblPr>
      <w:tblGrid>
        <w:gridCol w:w="1733"/>
        <w:gridCol w:w="1521"/>
        <w:gridCol w:w="1531"/>
        <w:gridCol w:w="211"/>
        <w:gridCol w:w="616"/>
        <w:gridCol w:w="109"/>
        <w:gridCol w:w="109"/>
        <w:gridCol w:w="109"/>
        <w:gridCol w:w="109"/>
        <w:gridCol w:w="280"/>
        <w:gridCol w:w="819"/>
        <w:gridCol w:w="206"/>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personal property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reduction in Accrued compensation is mostly related to payments of accrued bonus during the six months ended June 30, 2024.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increase in Interest payable is mostly due to the interest incurred on 13.5% Senior Notes. The 13.5% Senior Notes were issued on November 1, 2023 thus accruing only two months of interest as of</w:t>
      </w:r>
      <w:r>
        <w:rPr>
          <w:color w:val="000000"/>
          <w:shd w:fill="FFFFFF" w:val="clear"/>
        </w:rPr>
        <w:t xml:space="preserve"> </w:t>
      </w:r>
      <w:r>
        <w:rPr>
          <w:rFonts w:ascii="Times New Roman;sans-serif" w:hAnsi="Times New Roman;sans-serif"/>
          <w:b w:val="false"/>
          <w:color w:val="000000"/>
          <w:sz w:val="20"/>
          <w:shd w:fill="FFFFFF" w:val="clear"/>
        </w:rPr>
        <w:t xml:space="preserve">December 31, 2023. As of </w:t>
      </w:r>
      <w:r>
        <w:rPr>
          <w:rFonts w:ascii="Times New Roman;sans-serif" w:hAnsi="Times New Roman;sans-serif"/>
          <w:b w:val="false"/>
          <w:color w:val="000000"/>
          <w:sz w:val="20"/>
        </w:rPr>
        <w:t xml:space="preserve">June 30, 2024 the balance represented a three month accrual. Payments were due on January 2, 2024 and July 1, 2024, respectively. See Note 13,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for discussion of 13.5% Notes and related interest payable.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 mostly represent estimated liabilities for returns and other expenses related to the proprietary product Sympazan (prior to outlicensing to Assertio in October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13.    Long-Term Debt</w:t>
      </w:r>
    </w:p>
    <w:p>
      <w:pPr>
        <w:pStyle w:val="TextBody"/>
        <w:bidi w:val="0"/>
        <w:spacing w:lineRule="auto" w:line="288" w:before="12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12.5%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2019, the Company completed a private placement of up to $100,000 aggregate principal of its 12.5% Notes which were due 2025 and issued Warrants to purchase 2,000,000 shares of Common Stock at $0.001 par value per share.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closing of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noteholders whereby the Company issued in aggregate $4,000 of additional 12.5% Notes (the “Additional Notes”) in lieu of paying a prepayment premium to two noteholders on the early repayment of the 12.5% Notes discussed above. The result of these two transactions reduced the net balance of the Company’s 12.5% Notes outstanding in the aggregate to $51,500 at December 31, 2020. The $4,000 principal issuance would be repaid proportionally over the same maturities as the other 12.5% Notes. The Company also paid to one of its noteholders a $2,250 premium as result of the early retirement of debt.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$22,500 debt repayment as a debt modification of the 12.5% Notes. The fees paid to noteholders inclusive of (i) a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First Supplemental Indenture contained a provision whereby, as the Company receives any cash proceeds from the Monetization Agreement, each noteholder had the right to require the Company to redeem all or any part of such noteholder’s outstanding 12.5% Notes at a repurchase price in cash equal to 112.5% of the principal amount, plus accrued and unpaid interest. This repurchase offer was capped at 30% of the cash proceeds received by the Company as the contingent milestones were attained, if any, up through June 30, 2025. The embedded put option was deemed to be a derivative under </w:t>
      </w:r>
      <w:r>
        <w:rPr>
          <w:rFonts w:ascii="Times New Roman;sans-serif" w:hAnsi="Times New Roman;sans-serif"/>
          <w:b w:val="false"/>
          <w:i/>
          <w:color w:val="000000"/>
          <w:sz w:val="20"/>
        </w:rPr>
        <w:t>ASC 815, Derivatives and Hedging</w:t>
      </w:r>
      <w:r>
        <w:rPr>
          <w:rFonts w:ascii="Times New Roman;sans-serif" w:hAnsi="Times New Roman;sans-serif"/>
          <w:b w:val="false"/>
          <w:color w:val="000000"/>
          <w:sz w:val="20"/>
        </w:rPr>
        <w:t xml:space="preserve">, which required the recording of the embedded put option at fair value subject to remeasurement at each reporting period. Accordingly, a valuation study was performed by an independent third party appraiser and updated as of June 30, 2023. Based on the valuation study, the put option was valued at $0 and has been recorded in Other non-current liabilities. The put option fair value increased by $13 and decreased by $58 and was recorded in interest income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net on the Condensed Statements of Operations and Comprehensive (Loss) for the three and six months ended June 30, 2023, respectively. In addition, as of the closing of this transaction, the Company issued to the holders of the 12.5% Notes warrants to purchase 143,000 shares of the Company’s Common Stock. As of June 30, 2024, the put option is no longer in place due to the refinancing of the 12.5%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2021, the Company entered into the Fourth Supplemental Indenture, pursuant to which the amortization schedule for the 12.5% Notes was amended to provide for the date of the first principal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The last Consent Fee installment of $675 was made in February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12.5% Notes provided a stated fixed interest rate of 12.5%, payable quarterly in arrears, with the final quarterly principal repayment of the 12.5% Notes due at maturity on June 30, 2025.</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could have elected, at its option, to redeem the 12.5% Notes at any time at premiums that range from 101.56% of outstanding principal if prepayment occurs on or after the fifth anniversary of the issue date of the Initial Notes to 112.50% if payment occurs during the third year after the issuance of the 12.5% Notes. The Indenture also included change of control provisions under which the Company would have been required to redeem the 12.5% Notes at 101% of the remaining principal plus accrued interest at the election of the noteholders.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redeemed $5,647 of its outstanding 12.5% Notes. The Company also paid $353 in prepayment premium as result of the early retirement of debt which was reflected as a loss on extinguishment of debt. The prepayments along with the scheduled principal payments of $6,878 in the first half of 2023 reduced the net balance of the 12.5% Notes outstanding in the aggregate to $38,975 as of June 30,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arising from amortization of deferred debt issuance costs and debt discounts related to the 12.5% Notes for the three and six months ended June 30, 2023 was $4 and $8, respectively.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issued the 13.5% Notes, as described below, and used most of the proceeds from the issuance to repay the outstanding principal balance under the 12.5% Notes of $36,014, including accrued and unpaid interest and a redemption fee.</w:t>
      </w:r>
    </w:p>
    <w:p>
      <w:pPr>
        <w:pStyle w:val="TextBody"/>
        <w:bidi w:val="0"/>
        <w:spacing w:lineRule="auto" w:line="288" w:before="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13.5%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13.5% Notes are senior secured obligations of the Company and mature on November 1, 2028. The 13.5% Notes bear interest at a fixed rate of 13.5% per year, payable quarterly commencing on December 30, 2023; the first interest payment was due and paid on January 2, 2024. On each payment date commencing on June 30, 2026, the Company will pay an installment of principal of the 13.5% Notes pursuant to a fixed amortization schedule, along with the applicable Exit Fee. The Exit Fee totals $2,000.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redeem the 13.5% Notes in full or in part: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a.if such redemption occurs prior to November 1, 2025, at a redemption price equal to 100% of the principal amount plus accrued and unpaid interest, plus the applicable Exit Fee, plus an Applicable Premium which is the greater of </w:t>
      </w:r>
    </w:p>
    <w:p>
      <w:pPr>
        <w:pStyle w:val="TextBody"/>
        <w:bidi w:val="0"/>
        <w:spacing w:lineRule="auto" w:line="28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i.1.0% of the principal redeemed; and </w:t>
      </w:r>
    </w:p>
    <w:p>
      <w:pPr>
        <w:pStyle w:val="TextBody"/>
        <w:bidi w:val="0"/>
        <w:spacing w:lineRule="auto" w:line="288" w:before="0" w:after="12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amount, if any, by which the present value of the principal to be redeemed on November 1, 2025, plus all required interest due on such date, computed using a discount rate equal to the Treasury Rate, plus 100 basis points, exceeds the amount of principal to be redeemed;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 such redemption occurs after November 1, 2025, the redemption price is equal to 108.5% of the principal amount plus accrued and unpaid interest, plus the applicable Exit Fee.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13.5% Notes, the Company and the Note Holders entered into the Royalty Right Agreements dated as of November 1, 2023, which provides Note Holders: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8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 </w:t>
      </w:r>
      <w:r>
        <w:rPr>
          <w:rFonts w:ascii="Times New Roman;sans-serif" w:hAnsi="Times New Roman;sans-serif"/>
          <w:b w:val="false"/>
          <w:color w:val="000000"/>
          <w:sz w:val="20"/>
          <w:shd w:fill="FFFFFF" w:val="clear"/>
        </w:rPr>
        <w:t>As of June 30, 2024, there were no material changes to the significant unobservable inputs used to recognize the Royalty Right Agreements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unobservable inputs used in the initial fair value measurement of the Royalty Right Agreements:</w:t>
      </w:r>
    </w:p>
    <w:tbl>
      <w:tblPr>
        <w:tblW w:w="10205" w:type="dxa"/>
        <w:jc w:val="left"/>
        <w:tblInd w:w="0" w:type="dxa"/>
        <w:tblLayout w:type="fixed"/>
        <w:tblCellMar>
          <w:top w:w="28" w:type="dxa"/>
          <w:left w:w="28" w:type="dxa"/>
          <w:bottom w:w="28" w:type="dxa"/>
          <w:right w:w="28" w:type="dxa"/>
        </w:tblCellMar>
      </w:tblPr>
      <w:tblGrid>
        <w:gridCol w:w="743"/>
        <w:gridCol w:w="654"/>
        <w:gridCol w:w="657"/>
        <w:gridCol w:w="646"/>
        <w:gridCol w:w="646"/>
        <w:gridCol w:w="648"/>
        <w:gridCol w:w="109"/>
        <w:gridCol w:w="109"/>
        <w:gridCol w:w="109"/>
        <w:gridCol w:w="813"/>
        <w:gridCol w:w="813"/>
        <w:gridCol w:w="815"/>
        <w:gridCol w:w="109"/>
        <w:gridCol w:w="109"/>
        <w:gridCol w:w="109"/>
        <w:gridCol w:w="360"/>
        <w:gridCol w:w="322"/>
        <w:gridCol w:w="322"/>
        <w:gridCol w:w="322"/>
        <w:gridCol w:w="322"/>
        <w:gridCol w:w="322"/>
        <w:gridCol w:w="360"/>
        <w:gridCol w:w="322"/>
        <w:gridCol w:w="46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(range, if applicable)</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Royalty Right Agreements</w:t>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Success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0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Years of Payments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future estimated royalty payments of $56,926 over the $13,856 of allocated fair value is recognized as a discount related to the Royalty Right Agreements and is amortized as interest expense using the effective interest method.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inception, the allocated amounts of $13,856 when combined with the Exit Fee of $2,000, original issue discount of $1,125 and debt issuance costs of $3,517, resulted in a debt discount of $20,498. The debt discount is being amortized over the term of 13.5% Notes using the effective interest method.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arising from the discounts related to the 13.5% Notes for the three and six months ended June 30, 2024 was $1,254 and $2,511, respectively. Amortization expense arising from the discounts related to the Royalty Right Agreements for the three and six months ended June 30, 2024 was $1,358 and $2,716, respectively.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discounts totaled $15,154 and $17,665 for the 13.5% Notes and $39,449 and $42,165 for the Royalty obligations as of June 30,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notes and unamortized debt discount balances are as follows:</w:t>
      </w:r>
    </w:p>
    <w:tbl>
      <w:tblPr>
        <w:tblW w:w="6198" w:type="dxa"/>
        <w:jc w:val="left"/>
        <w:tblInd w:w="0" w:type="dxa"/>
        <w:tblLayout w:type="fixed"/>
        <w:tblCellMar>
          <w:top w:w="28" w:type="dxa"/>
          <w:left w:w="28" w:type="dxa"/>
          <w:bottom w:w="28" w:type="dxa"/>
          <w:right w:w="28" w:type="dxa"/>
        </w:tblCellMar>
      </w:tblPr>
      <w:tblGrid>
        <w:gridCol w:w="1277"/>
        <w:gridCol w:w="1122"/>
        <w:gridCol w:w="1126"/>
        <w:gridCol w:w="211"/>
        <w:gridCol w:w="721"/>
        <w:gridCol w:w="109"/>
        <w:gridCol w:w="109"/>
        <w:gridCol w:w="109"/>
        <w:gridCol w:w="109"/>
        <w:gridCol w:w="253"/>
        <w:gridCol w:w="867"/>
        <w:gridCol w:w="18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including Exit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772" w:type="dxa"/>
        <w:jc w:val="left"/>
        <w:tblInd w:w="0" w:type="dxa"/>
        <w:tblLayout w:type="fixed"/>
        <w:tblCellMar>
          <w:top w:w="28" w:type="dxa"/>
          <w:left w:w="28" w:type="dxa"/>
          <w:bottom w:w="28" w:type="dxa"/>
          <w:right w:w="28" w:type="dxa"/>
        </w:tblCellMar>
      </w:tblPr>
      <w:tblGrid>
        <w:gridCol w:w="761"/>
        <w:gridCol w:w="667"/>
        <w:gridCol w:w="671"/>
        <w:gridCol w:w="211"/>
        <w:gridCol w:w="721"/>
        <w:gridCol w:w="109"/>
        <w:gridCol w:w="109"/>
        <w:gridCol w:w="109"/>
        <w:gridCol w:w="109"/>
        <w:gridCol w:w="253"/>
        <w:gridCol w:w="867"/>
        <w:gridCol w:w="185"/>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the 13.5% Notes as of June 30, 2024 are as follows: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14.    Warrants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Warrants Issued to 12.5% Senior Secured Noteholders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Warrants that were issued in conjunction with the Initial Notes (the “Initial Warrants”) and Additional Notes (the “Additional Warrants”) expire on June 30, 2025 and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Balance Sheets. There were no warrants exercised as it relates to the Initial Warrants and the Additional Warrants during the six months ended June 30, 2024 and 2023, respectively. Warrants to purchase a total of 1,714,429 shares of Common Stock with exercise prices of $4.25 and $5.38 for 1,571,429 warrants and 143,000 warrants, respectively, remain outstanding as of June 30, 2024 and December 31, 2023. See Note 13, </w:t>
      </w:r>
      <w:r>
        <w:rPr>
          <w:rFonts w:ascii="Times New Roman;sans-serif" w:hAnsi="Times New Roman;sans-serif"/>
          <w:b w:val="false"/>
          <w:i/>
          <w:color w:val="000000"/>
          <w:sz w:val="20"/>
        </w:rPr>
        <w:t>Long-Term Debt.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Balance Sheets. On June 14, 2023, 3,689,452 Common Stock warrants issued pursuant to the Securities Purchase Agreements were exercised with proceeds of approximately $3,542.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of the Exercising Holder exercising the Existing Warrants, the Company issued to the Exercising Holder New Warrants to purchase up to an aggregate of 2,750,000 shares of Common Stock. The New Warrants are exercisable after February 2, 2024, expire on February 2, 2029 and are issuance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2023, 5,000,000 of the Existing Warrants were exercised pursuant to the Securities Purchase Agreement with the Exercising Holder, with the Company receiving gross proceeds therefrom of $4,800. In total, 8,689,452 Common Stock warrants issued pursuant to the Securities Purchase Agreements with net proceeds of approximately $8,307 were exercised during the year ended December 31, 2023. The Company incurred $35 in relation to this transaction.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warrants exercised as it relates to the Warrants Issued Under Securities Purchase Agreements during the six months ended June 30, 2024 or 2023, respectively.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warrants to purchase 2,750,000 shares of Common Stock described above, there remain outstanding warrants to purchase 160,548 shares of Common Stock at an exercise price of $0.96 and warrants to purchase 1,714,429 shares of Common Stock outstanding related to the original issuance of the 12.5% Notes prior to the debt refinancing described above in this Note 14, with exercise prices of $4.25 and $5.38 for 1,571,429 warrants and 143,000 warrants,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June 30, 2024 under the Monetization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sans-serif" w:hAnsi="Times New Roman;sans-serif"/>
          <w:b w:val="false"/>
          <w:i/>
          <w:color w:val="000000"/>
          <w:sz w:val="20"/>
        </w:rPr>
        <w:t xml:space="preserve">Transfer and Servicing </w:t>
      </w:r>
      <w:r>
        <w:rPr>
          <w:rFonts w:ascii="Times New Roman;sans-serif" w:hAnsi="Times New Roman;sans-serif"/>
          <w:b w:val="false"/>
          <w:color w:val="000000"/>
          <w:sz w:val="20"/>
        </w:rPr>
        <w:t xml:space="preserve">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of the liability related to the sale of future revenue:</w:t>
      </w:r>
    </w:p>
    <w:tbl>
      <w:tblPr>
        <w:tblW w:w="10205" w:type="dxa"/>
        <w:jc w:val="left"/>
        <w:tblInd w:w="0" w:type="dxa"/>
        <w:tblLayout w:type="fixed"/>
        <w:tblCellMar>
          <w:top w:w="28" w:type="dxa"/>
          <w:left w:w="28" w:type="dxa"/>
          <w:bottom w:w="28" w:type="dxa"/>
          <w:right w:w="28" w:type="dxa"/>
        </w:tblCellMar>
      </w:tblPr>
      <w:tblGrid>
        <w:gridCol w:w="2801"/>
        <w:gridCol w:w="2396"/>
        <w:gridCol w:w="2403"/>
        <w:gridCol w:w="211"/>
        <w:gridCol w:w="721"/>
        <w:gridCol w:w="109"/>
        <w:gridCol w:w="109"/>
        <w:gridCol w:w="109"/>
        <w:gridCol w:w="109"/>
        <w:gridCol w:w="239"/>
        <w:gridCol w:w="821"/>
        <w:gridCol w:w="177"/>
      </w:tblGrid>
      <w:tr>
        <w:trPr/>
        <w:tc>
          <w:tcPr>
            <w:tcW w:w="280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end of the period (includes current portion of $1,000 and $922, respectively)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Net (Loss) Earnings Per Share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earnings per share is calculated by dividing net (loss) income by the weighted-average number of common shares.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basic to diluted weighted average shares outstanding for the three and six months ended June 30, 2024 and 2023. Diluted EPS is adjusted by the effect of dilutive securities, including options and awards under the Company’s equity compensation plans, warrants and ESPP. As a result of the Company’s net loss incurred for the three months ended June 30, 2024 and 2023, and for the six months ended June 30, 2024. all potentially dilutive instruments outstanding would have anti-dilutive effects on per-share calculations. Therefore, basic and diluted net loss per share are the same for the three months ended June 30, 2024 and 2023 and six months ended 2024 as reflected below.</w:t>
      </w:r>
    </w:p>
    <w:tbl>
      <w:tblPr>
        <w:tblW w:w="10205" w:type="dxa"/>
        <w:jc w:val="left"/>
        <w:tblInd w:w="0" w:type="dxa"/>
        <w:tblLayout w:type="fixed"/>
        <w:tblCellMar>
          <w:top w:w="28" w:type="dxa"/>
          <w:left w:w="28" w:type="dxa"/>
          <w:bottom w:w="28" w:type="dxa"/>
          <w:right w:w="28" w:type="dxa"/>
        </w:tblCellMar>
      </w:tblPr>
      <w:tblGrid>
        <w:gridCol w:w="1873"/>
        <w:gridCol w:w="1271"/>
        <w:gridCol w:w="1273"/>
        <w:gridCol w:w="270"/>
        <w:gridCol w:w="811"/>
        <w:gridCol w:w="109"/>
        <w:gridCol w:w="109"/>
        <w:gridCol w:w="109"/>
        <w:gridCol w:w="109"/>
        <w:gridCol w:w="270"/>
        <w:gridCol w:w="811"/>
        <w:gridCol w:w="109"/>
        <w:gridCol w:w="109"/>
        <w:gridCol w:w="109"/>
        <w:gridCol w:w="109"/>
        <w:gridCol w:w="240"/>
        <w:gridCol w:w="841"/>
        <w:gridCol w:w="109"/>
        <w:gridCol w:w="109"/>
        <w:gridCol w:w="109"/>
        <w:gridCol w:w="109"/>
        <w:gridCol w:w="275"/>
        <w:gridCol w:w="806"/>
        <w:gridCol w:w="156"/>
      </w:tblGrid>
      <w:tr>
        <w:trPr/>
        <w:tc>
          <w:tcPr>
            <w:tcW w:w="187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56,494,805 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stock options </w:t>
            </w:r>
            <w:r>
              <w:rPr>
                <w:rFonts w:ascii="Times New Roman;sans-serif" w:hAnsi="Times New Roman;sans-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restricted stock units </w:t>
            </w:r>
            <w:r>
              <w:rPr>
                <w:rFonts w:ascii="Times New Roman;sans-serif" w:hAnsi="Times New Roman;sans-serif"/>
                <w:b w:val="false"/>
                <w:color w:val="000000"/>
                <w:sz w:val="13"/>
              </w:rPr>
              <w:t>(b)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warrants </w:t>
            </w:r>
            <w:r>
              <w:rPr>
                <w:rFonts w:ascii="Times New Roman;sans-serif" w:hAnsi="Times New Roman;sans-serif"/>
                <w:b w:val="false"/>
                <w:color w:val="000000"/>
                <w:sz w:val="13"/>
              </w:rPr>
              <w:t>(c)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Employee Stock Purchase Plan </w:t>
            </w:r>
            <w:r>
              <w:rPr>
                <w:rFonts w:ascii="Times New Roman;sans-serif" w:hAnsi="Times New Roman;sans-serif"/>
                <w:b w:val="false"/>
                <w:color w:val="000000"/>
                <w:sz w:val="13"/>
              </w:rPr>
              <w:t>(d)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57,350,902 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58,938,222 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(Loss) Earnings per share attributable to common stockholders: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per common share – basic</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per common share – diluted</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8"/>
        </w:rPr>
        <w:t>(a)For the three months ended June 30, 2024 and 2023, outstanding stock options of 6,438,239 and 5,919,522 shares of Common Stock were anti-dilutive and excluded from the computation of diluted EPS. For the six months ended June 30, 2024 and 2023, outstanding stock options of 6,438,239 and 5,794,522</w:t>
      </w:r>
      <w:r>
        <w:rPr>
          <w:color w:val="000000"/>
        </w:rPr>
        <w:t xml:space="preserve"> </w:t>
      </w:r>
      <w:r>
        <w:rPr>
          <w:rFonts w:ascii="Times New Roman;sans-serif" w:hAnsi="Times New Roman;sans-serif"/>
          <w:b w:val="false"/>
          <w:color w:val="000000"/>
          <w:sz w:val="18"/>
        </w:rPr>
        <w:t>shares of Common Stock were anti-dilutive and excluded from the computation of diluted EPS.</w:t>
      </w:r>
    </w:p>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(b)For the three months ended June 30, 2024 and 2023, outstanding restricted stock units of 3,935,201 and 2,477,738 shares of Common Stock were anti-dilutive and excluded from the computation of diluted EPS. For the six months ended June 30,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outstanding restricted stock units of 3,935,201 and 743,438. shares of Common Stock were anti-dilutive and excluded from the computation of diluted EPS.</w:t>
      </w:r>
    </w:p>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(c)For the three months ended June 30, 2024 and 2023, outstanding warrants of 4,624,977 and 6,874,977 shares of Common Stock, respectively, were anti-dilutive and excluded from the computation of diluted EPS. For the six months ended June 30, 2024 and 2023, outstanding warrants of 4,624,977 and 1,714,429 shares of Common Stock, respectively, were anti-dilutive and excluded from the computation of diluted EPS.</w:t>
      </w:r>
    </w:p>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(d)For the three and six months ended June 30, 2024 and the three months ended June 30, 2023, the estimated effects of ESPP awards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17.    Share-Based Compensation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share-based compensation in its unaudited Condensed Statements of Operations and Comprehensive (Loss) Income during 2024 and 2023 as follows:</w:t>
      </w:r>
    </w:p>
    <w:tbl>
      <w:tblPr>
        <w:tblW w:w="7979" w:type="dxa"/>
        <w:jc w:val="left"/>
        <w:tblInd w:w="0" w:type="dxa"/>
        <w:tblLayout w:type="fixed"/>
        <w:tblCellMar>
          <w:top w:w="28" w:type="dxa"/>
          <w:left w:w="28" w:type="dxa"/>
          <w:bottom w:w="28" w:type="dxa"/>
          <w:right w:w="28" w:type="dxa"/>
        </w:tblCellMar>
      </w:tblPr>
      <w:tblGrid>
        <w:gridCol w:w="1272"/>
        <w:gridCol w:w="1117"/>
        <w:gridCol w:w="1120"/>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(ESPP)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Share-Based Compensation Equity Awards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the Company’s restricted stock unit and stock option activity during the six month period ended June 30, 2024:</w:t>
      </w:r>
    </w:p>
    <w:tbl>
      <w:tblPr>
        <w:tblW w:w="7556" w:type="dxa"/>
        <w:jc w:val="left"/>
        <w:tblInd w:w="0" w:type="dxa"/>
        <w:tblLayout w:type="fixed"/>
        <w:tblCellMar>
          <w:top w:w="28" w:type="dxa"/>
          <w:left w:w="28" w:type="dxa"/>
          <w:bottom w:w="28" w:type="dxa"/>
          <w:right w:w="28" w:type="dxa"/>
        </w:tblCellMar>
      </w:tblPr>
      <w:tblGrid>
        <w:gridCol w:w="1610"/>
        <w:gridCol w:w="1417"/>
        <w:gridCol w:w="1427"/>
        <w:gridCol w:w="419"/>
        <w:gridCol w:w="419"/>
        <w:gridCol w:w="422"/>
        <w:gridCol w:w="109"/>
        <w:gridCol w:w="109"/>
        <w:gridCol w:w="109"/>
        <w:gridCol w:w="364"/>
        <w:gridCol w:w="883"/>
        <w:gridCol w:w="268"/>
      </w:tblGrid>
      <w:tr>
        <w:trPr/>
        <w:tc>
          <w:tcPr>
            <w:tcW w:w="16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 Awards (RSUs) - Service-based: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 Fair</w:t>
              <w:br/>
              <w:t>Value</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2024</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$7,261 of total unrecognized compensation expenses related to unvested service-based restricted stock units are expected to be recognized over a remaining weighted average period of 2.19 years. The service-based restricted stock units granted to employees are subject to a three-year graduated vesting schedule and are not subject to performance-based criteria other than continued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tbl>
      <w:tblPr>
        <w:tblW w:w="9102" w:type="dxa"/>
        <w:jc w:val="left"/>
        <w:tblInd w:w="0" w:type="dxa"/>
        <w:tblLayout w:type="fixed"/>
        <w:tblCellMar>
          <w:top w:w="28" w:type="dxa"/>
          <w:left w:w="28" w:type="dxa"/>
          <w:bottom w:w="28" w:type="dxa"/>
          <w:right w:w="28" w:type="dxa"/>
        </w:tblCellMar>
      </w:tblPr>
      <w:tblGrid>
        <w:gridCol w:w="2172"/>
        <w:gridCol w:w="1912"/>
        <w:gridCol w:w="1916"/>
        <w:gridCol w:w="419"/>
        <w:gridCol w:w="419"/>
        <w:gridCol w:w="422"/>
        <w:gridCol w:w="109"/>
        <w:gridCol w:w="109"/>
        <w:gridCol w:w="109"/>
        <w:gridCol w:w="364"/>
        <w:gridCol w:w="883"/>
        <w:gridCol w:w="268"/>
      </w:tblGrid>
      <w:tr>
        <w:trPr/>
        <w:tc>
          <w:tcPr>
            <w:tcW w:w="217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 Awards (RSUs) - Market conditions vesting-based: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 Fair</w:t>
              <w:br/>
              <w:t>Value</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2024</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8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$1,658 of unrecognized compensation expense related to unvested market condition vesting- based restricted stock units are expected to be recognized over a remaining weighted average period of 1.85 years.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Inducement Equity Incentive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5635(c)(4), the Company adopted the 2022 Equity Inducement Plan approved by the Compensation Committee of the Board of Directors of the Company effective as of July 29, 2022. There were no awards outstanding under this Plan as of June 30, 2024.</w:t>
      </w:r>
    </w:p>
    <w:tbl>
      <w:tblPr>
        <w:tblW w:w="7300" w:type="dxa"/>
        <w:jc w:val="left"/>
        <w:tblInd w:w="0" w:type="dxa"/>
        <w:tblLayout w:type="fixed"/>
        <w:tblCellMar>
          <w:top w:w="28" w:type="dxa"/>
          <w:left w:w="28" w:type="dxa"/>
          <w:bottom w:w="28" w:type="dxa"/>
          <w:right w:w="28" w:type="dxa"/>
        </w:tblCellMar>
      </w:tblPr>
      <w:tblGrid>
        <w:gridCol w:w="1443"/>
        <w:gridCol w:w="1268"/>
        <w:gridCol w:w="1278"/>
        <w:gridCol w:w="419"/>
        <w:gridCol w:w="419"/>
        <w:gridCol w:w="422"/>
        <w:gridCol w:w="109"/>
        <w:gridCol w:w="109"/>
        <w:gridCol w:w="109"/>
        <w:gridCol w:w="414"/>
        <w:gridCol w:w="1005"/>
        <w:gridCol w:w="305"/>
      </w:tblGrid>
      <w:tr>
        <w:trPr/>
        <w:tc>
          <w:tcPr>
            <w:tcW w:w="144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 Awards: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Exercise Price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stock options granted were estimated using the Black-Scholes pricing model based on the following assumptions:</w:t>
      </w:r>
    </w:p>
    <w:tbl>
      <w:tblPr>
        <w:tblW w:w="4106" w:type="dxa"/>
        <w:jc w:val="left"/>
        <w:tblInd w:w="0" w:type="dxa"/>
        <w:tblLayout w:type="fixed"/>
        <w:tblCellMar>
          <w:top w:w="28" w:type="dxa"/>
          <w:left w:w="28" w:type="dxa"/>
          <w:bottom w:w="28" w:type="dxa"/>
          <w:right w:w="28" w:type="dxa"/>
        </w:tblCellMar>
      </w:tblPr>
      <w:tblGrid>
        <w:gridCol w:w="772"/>
        <w:gridCol w:w="678"/>
        <w:gridCol w:w="680"/>
        <w:gridCol w:w="195"/>
        <w:gridCol w:w="195"/>
        <w:gridCol w:w="195"/>
        <w:gridCol w:w="181"/>
        <w:gridCol w:w="181"/>
        <w:gridCol w:w="181"/>
        <w:gridCol w:w="195"/>
        <w:gridCol w:w="195"/>
        <w:gridCol w:w="195"/>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71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options granted during the six months ended June 30, 2024 was $3.98. During the six months ended June 30, 2024, stock options were granted with an exercise price of $4.83 and accordingly, given the Company’s share price of $2.60 at June 30, 2024, the intrinsic value provided by certain shares granted during this period was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$4,033 of unrecognized compensation expense related to non-vested stock options is expected to be recognized over a remaining weighted average period of 1.76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Income Taxes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 of its annual effective tax rate, adjusted for discrete items. For the three and six months ended June 30, 2024, the effective income tax rate was 0%, and the Company recorded no income tax expense from its pretax losses of $2,745 and $15,573, respectively. For the three and six months ended June 30, 2023, the effective income tax rate was (5.2%) and 11.1%, respectively, and the Company recorded $284 and $284 from its pretax (loss) income of ($5,508) and $2,560 , respectively.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the effective tax rate for six months ended June 30, 2024 is the anticipated full year pre-tax book loss and a full valuation allowance against any associated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19.    Contingencies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Patent-Related Litigation</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Indivior Inc., Indivior UK Ltd., and Aquestive Therapeutics, Inc. v. Teva Pharmaceuticals USA,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2018, the Company and Indivior initiated a lawsuit against Teva Pharmaceuticals USA, Inc. (“Teva”) asserting infringement of U.S. Patent No. 9,855,221 ("the '221 patent"). On April 3, 2018, the Company and Indivior initiated a separate lawsuit against Teva asserting infringement of U.S. Patent No. 9,931,305 ("the '305 patent"). On May 29, 2018, the lawsuits regarding the '221 and '305 patents were consolidated with a suit originally initiated by Indivior against Teva asserting infringement of U.S. Patent No. 9,687,454 ("the '454 patent"). The parties agreed that the case would be governed by the final judgment against Dr. Reddy’s, which also involved allegations of infringement of the '221, '305, and '454 patents, which was resolved via a settlement agreement and entry of a Stipulation and Order of Dismissal on June 28,2022. On January 31, 2024, the Court entered a Stipulation and Order of Dismissal, dismissing all claims and counterclaims with prejudice in the lawsuit against Teva.</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Kentucky Litigation - Humana</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Humana Inc. v. Indivior Inc, Indivior Solutions Inc., Indivior PLC, Reckitt Benckiser Group plc, Reckitt Benckiser Healthcare (UK) Ltd., and Aquestive Therapeutics,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20, 2021, Humana filed a complaint in state court in Kentucky, alleging conspiracy to violate the RICO Act, fraud under state law, unfair and deceptive trade practices under state law, insurance fraud, and unjust enrichment against the Company relating to Indivior’s launch of Suboxone Sublingual Film in 2010. The Humana action was stayed pending related litigation, and the stay was lifted on October 30, 2023. On February 23, 2024, the Company filed a motion to dismiss the Complaint. Oral argument on the Company's motion to dismiss is currently set for September 9, 2024. No discovery schedule has been set in the action and there is no trial date set in this case. The Company is not able to determine or predict the ultimate outcome of the state court action in Kentucky by Humana,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California Litigation</w:t>
      </w:r>
    </w:p>
    <w:p>
      <w:pPr>
        <w:pStyle w:val="TextBody"/>
        <w:bidi w:val="0"/>
        <w:spacing w:lineRule="auto" w:line="288" w:before="0" w:after="120"/>
        <w:jc w:val="both"/>
        <w:rPr/>
      </w:pPr>
      <w:r>
        <w:rPr>
          <w:rFonts w:ascii="Times New Roman;sans-serif" w:hAnsi="Times New Roman;sans-serif"/>
          <w:b w:val="false"/>
          <w:color w:val="000000"/>
          <w:sz w:val="20"/>
          <w:u w:val="single"/>
        </w:rPr>
        <w:t>Neurelis, Inc. v. Aquestive Therapeutics, Inc</w:t>
      </w:r>
      <w:r>
        <w:rPr>
          <w:rFonts w:ascii="Times New Roman;sans-serif" w:hAnsi="Times New Roman;sans-serif"/>
          <w:b w:val="false"/>
          <w:color w:val="000000"/>
          <w:sz w:val="20"/>
        </w:rPr>
        <w: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5, 2019, Neurelis Inc.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Trial in this matter is scheduled for March 7, 2025. The Company is not able to determine or predict the ultimate outcome of this proceeding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Suboxone Product Liability Litigation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As of July 29, 2024, the Company was named as a defendant in over 560 product liability lawsuits, along with Indivior and several other named defendants, in which the individual plaintiffs in those cases allege that their use of Suboxone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Sublingual Film, a prescription drug product for opioid use disorder, caused them dental injuries. On February 2, 2024, this litigation became a Multidistrict Litigation (“MDL") consolidated in the United States District Court for the Northern District of Ohio. One case alleging the same allegations as contained in the MDL has been filed in a state court in the State of New Jersey. The parties to the MDL have agreed to a tolling of unfiled claimants in several states, but have not yet agreed to a tolling of the N.J. state case. Indivior has agreed to defend the Company in these litigation matters. No discovery schedule or trial date has been set in the MDL matter. The Company is not able to determine or predict the ultimate outcome of this litigation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Neurelis FDA Lawsuit</w:t>
      </w:r>
    </w:p>
    <w:p>
      <w:pPr>
        <w:pStyle w:val="TextBody"/>
        <w:bidi w:val="0"/>
        <w:spacing w:lineRule="auto" w:line="288" w:before="0" w:after="120"/>
        <w:jc w:val="both"/>
        <w:rPr/>
      </w:pPr>
      <w:r>
        <w:rPr>
          <w:rFonts w:ascii="Times New Roman;sans-serif" w:hAnsi="Times New Roman;sans-serif"/>
          <w:b w:val="false"/>
          <w:color w:val="000000"/>
          <w:sz w:val="20"/>
          <w:u w:val="single"/>
        </w:rPr>
        <w:t xml:space="preserve">Neurelis v. Califf, </w:t>
      </w:r>
      <w:r>
        <w:rPr>
          <w:rFonts w:ascii="Times New Roman;sans-serif" w:hAnsi="Times New Roman;sans-serif"/>
          <w:b w:val="false"/>
          <w:i/>
          <w:color w:val="000000"/>
          <w:sz w:val="20"/>
          <w:u w:val="single"/>
        </w:rPr>
        <w:t>et al</w:t>
      </w:r>
      <w:r>
        <w:rPr>
          <w:rFonts w:ascii="Times New Roman;sans-serif" w:hAnsi="Times New Roman;sans-serif"/>
          <w:b w:val="false"/>
          <w:color w:val="000000"/>
          <w:sz w:val="20"/>
          <w:u w:val="single"/>
        </w:rPr>
        <w:t>.</w:t>
      </w:r>
      <w:r>
        <w:rPr>
          <w:rFonts w:ascii="Times New Roman;sans-serif" w:hAnsi="Times New Roman;sans-serif"/>
          <w:b w:val="false"/>
          <w:color w:val="000000"/>
          <w:sz w:val="20"/>
        </w:rPr>
        <w:t>, U.S. District court for the District of Columbia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Neurelis Inc.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Aquestive’s New Drug Application for Libervant™ for epilepsy patients aged between two and five years, and asks the Court to vacate that approval and enjoin the defendants from approving Libervant™ for this pediatric patient population until January 10, 2027, the scheduled date for the expiration of the orphan drug market exclusivity granted to the nasal spray product of Neurelis, Inc. by the FDA. Aquestive intervened in the litigation to defend the approval of Libervant™ for this pediatric patient population and on June 25, 2024 the Court entered a scheduling order governing further proceedings in the case. No trial date has been set in this case. The Company is not able to determine or predict the ultimate outcome of this proceeding or provide a reasonable estimate or range of estimates of the possible outcome or loss, if any, in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You should read this section in conjunction with our unaudited condensed interim financial statements and related notes included in Part I Item 1 of this Quarterly Report on Form 10-Q and our audited financial statements and related notes thereto and management</w:t>
      </w:r>
      <w:r>
        <w:rPr>
          <w:color w:val="000000"/>
        </w:rPr>
        <w:t>’</w:t>
      </w:r>
      <w:r>
        <w:rPr>
          <w:rFonts w:ascii="Times New Roman;sans-serif" w:hAnsi="Times New Roman;sans-serif"/>
          <w:b w:val="false"/>
          <w:i/>
          <w:color w:val="000000"/>
          <w:sz w:val="20"/>
        </w:rPr>
        <w:t xml:space="preserve">s discussion and analysis of financial condition and results of operations for the years ended December 31, 2023 and 2022 included in our 2023 Annual Report on Form 10-K. All dollar amounts are stated in thousands except for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but are not limited to, statements regarding the advancement and related timing of our product candidate Anaphylm™ (epinephrine) Sublingual Film through clinical development and approval by the FDA, including submission of supporting clinical studies and the NDA for Anaphylm in the near term and the following launch of Anaphylm, if approved by the FDA; that Anaphylm will be the first and only oral administration of epinephrine and accepted as an alternative to existing standards of care, if Anaphylm is approved by the FDA; the commercial opportunity of Anaphylm; the advancement and related timing of our Adrenaverse pipeline epinephrine prodrug product candidates, including AQST-108, through clinical development and regulatory approval process, including holding a pre-IND meeting with the FDA for AQST-108; the commercial opportunity of our Adrenaverse epinephrine prodrug platform and its ability to transform the Company; the continued expansion of market access and coverage, commercial and distribution capabilities and future market opportunity for Libervant™ (diazepam) Buccal Film for the indicated epilepsy patient population aged between two and five years; the advancement and related timing of Libervant for these epilepsy patients aged between six and eleven years through the clinical development and regulatory approval process; the approval for U.S. market access of Libervant for this patient population aged twelve years and older and overcoming the orphan drug market exclusivity of an FDA approved nasal spray product of another company extending to January 2027 for Libervant for these epilepsy patients six years of age and older; the focus on continuing to manufacture Suboxone®, Emylif®, Sympazan®, Ondif® and other licensed products and continued growth of these products over several years in the future and our ability to support the manufacture and supply of these products in the U.S. and abroad; the potential benefits our products could bring to patients; our cash requirements, cash funding and cash burn; short-term and longer term liquidity and the ability to fund our business operations; our growth and future financial and operating results and financial position, including with respect to our 2024 financial outlook; and business strategies, market opportunities, and other statements that are not historical facts.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(including for pediatric patients), AQST-108, Libervant for patients aged between six and eleven years, and the Company's other product candidates; risks associated with the Company’s distribution work for Libervant, including any delays or changes to the timing, cost and success of Company's distribution activities and expansion of market access to patients aged two to five for Libervant; risk of litigation brought by third parties relating to overcoming their orphan drug exclusivity of an FDA approved product for pediatric epilepsy patients between two to five years of age; risk of delays in advancement of the regulatory approval process through the FDA of Anaphylm, including the filing of the NDA for AQST-108 and our other product candidates or failure to receive FDA approval at all of any of these product candidates; risk of the Company’s ability to generate sufficient data in its PK/PD comparability submission for FDA approval of Anaphylm; risk of the Company’s ability to address the FDA’s comments on the Company’s future clinical trials and other concerns identified in the FDA Type C meeting minutes for Anaphylm, including the risk that the FDA may require additional clinical studies for approval of Anaphylm; risk of the success of any competing products; risk that we may not overcome the seven year orphan drug exclusivity granted by the FDA for the approved nasal spray product of another company in the U.S. in order for Libervant to be granted U.S. market access for patients aged between two and five years until the expiration of the exclusivity period in January 2027 or for other reasons; risks and uncertainties inherent in commercializing a new product (including technology risks, financial risks, market risks and implementation risks and regulatory limitations); risk of development of a sales and marketing capability for commercialization of our product Libervant and other product candidates including Anaphylm; risk of sufficient capital and cash resources, including sufficient access to available debt and equity financing, including under our ATM facility and the Lincoln Park Purchase Agreement, and revenues from operations, to satisfy all of our short-term and longer-term liquidity and cash requirements and other cash needs, at the times and in the amounts needed, including to fund commercialization activities relating to Libervant for patients between two and five years of age and to fund future clinical development and commercial activities for Anaphylm, should Anaphylm be approved by the FDA; risk that our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capabilities will be sufficient to support demand for Libervant for patients between two and five years of age and for older patients, should Libervant receive U.S. market access for these older patients, and for demand for our licensed products in the U.S. and abroad; risk of eroding market share for Suboxone® and risk as a sunsetting product, which accounts for the substantial part of our current operating revenue; risk of default of our debt instruments; risk related to government claims against Indivior for which we license, manufacture and sell Suboxone; risks related to the outsourcing of certain sales, marketing and other operational and staff functions to third parties; risk of the rate and degree of market acceptance in the U.S. and abroad of Libervant for epilepsy patients between two and five years of age, and for older epilepsy patients upon approval for U.S. market access of Libervant for these older epilepsy patients after the expiration of the orphan drug exclusivity period in January 2027; risk of the rate and degree of market acceptance in the U.S. and abroad of Anaphylm, AQST-108 and our other products and product candidates, should these product candidates be approved by the FDA, and for our licensed products in the U.S. and abroad; risk of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cyberattacks; risk of increased cybersecurity attacks and data accessibility disruptions due to remote working arrangements; risk of adverse developments affecting the financial services industry; risks related to inflation and rising interest rates; risks related to the impact of the COVID-19 global pandemic and other pandemic diseases on our business, including with respect to our clinical trials and the site initiation, patient enrollment and timing and adequacy of those clinical trials, regulatory submissions and regulatory reviews and approvals of our product candidates, availability of pharmaceutical ingredients and other raw materials used in our products and product candidates, supply chain, manufacture and distribution of our products and product candidates; risks and uncertainties related to general economic, political (including the Ukraine and Israel wars and other acts of war and terrorism), business, industry, regulatory, financial and market conditions and other unusual items; and other uncertainties affecting us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2023 Annual Report on Form 10-K and our other Quarterly Reports on Form 10-Q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in this Quarterly Report on Form 10-Q to “Aquestive,” the "Company,” “we,” “us,” and “our” refer to Aquestive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a proprietary commercial product, Libervant for ages two to five, which was launched in April 2024. We have five licensed commercial products that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and our Adrenaverse epinephrine platform. Our production facilities are located in Portage, Indiana, and our corporate headquarters and primary research laboratory facilities are based in Warren, New Jersey.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licensed products at our facilities and anticipate that our current manufacturing capacity is sufficient for commercial quantities of our licensed products, proprietary product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Complex Molecule Portfolio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Anaphylm™</w:t>
      </w:r>
      <w:r>
        <w:rPr>
          <w:color w:val="000000"/>
        </w:rPr>
        <w:t xml:space="preserve"> </w:t>
      </w:r>
      <w:r>
        <w:rPr>
          <w:rFonts w:ascii="Times New Roman;sans-serif" w:hAnsi="Times New Roman;sans-serif"/>
          <w:b w:val="false"/>
          <w:color w:val="000000"/>
          <w:sz w:val="20"/>
        </w:rPr>
        <w:t>(epinephrine) Sublingual Film – the first and only non-device based, orally delivered epinephrine product candidate that has shown clinical results comparable to auto-injectors (such as EpiPen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Auvi-Q</w:t>
      </w:r>
      <w:r>
        <w:rPr>
          <w:rFonts w:ascii="Times New Roman;sans-serif" w:hAnsi="Times New Roman;sans-serif"/>
          <w:b w:val="false"/>
          <w:color w:val="000000"/>
          <w:sz w:val="13"/>
        </w:rPr>
        <w:t>®</w:t>
      </w:r>
      <w:r>
        <w:rPr>
          <w:rFonts w:ascii="Times New Roman;sans-serif" w:hAnsi="Times New Roman;sans-serif"/>
          <w:b w:val="false"/>
          <w:color w:val="000000"/>
          <w:sz w:val="20"/>
        </w:rPr>
        <w:t>) for the emergency treatment of allergic reactions, including anaphylaxis. Epinephrine is the standard of care in the treatment of anaphylaxis and is currently administered via intramuscular injection (IM) including auto-injectors, such as EpiPen and Auvi-Q, which require patients or their caregivers to inject epinephrine into the patient’s thigh during an emergency allergic reaction. As a result of this route of administration, many patients and their caregivers are reluctant to use currently available products. However, Anaphylm would, if approved by the FDA, allow a patient to simply place a dissolvable strip, approximately the size and weight of a postage stamp, under the tongue, providing an appropriate medication where it is needed, when it is needed and in a form preferred by patients.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conditionally accepted the proprietary name Anaphylm™ (pronounced “ana-film”) as the proposed brand name for Anaphylm. Final approval of the Anaphylm proprietary name is conditioned on FDA approval of Anaphylm, if any.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following a Phase 1 clinical study conducted by the Company,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2022 and 2023, we reported positive topline data from several clinical studies evaluating multiple oral film formulations and dosage strengths of Anaphylm in healthy adult subjects, including cross over studies comparing the pharmacokinetics (PK) and pharmacodynamics (PD) of epinephrine delivered via Anaphylm compared to current standards of care, EpiPen® and manual intramuscular (IM) injectors. These studies demonstrated that treatment with Anaphylm was well tolerated, with no serious adverse events, significant medical events, or treatment-related severe adverse events reported. The data from these clinical studies formed the basis for the End-of-Phase 2 (EoP2) meeting with the FDA in December of 2022, which provided clarity as to the FDA’s expectations regarding key clinical program areas for design of revised dosing instructions expected for use in our pivotal clinical trial.</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we received comments from the FDA on its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Q4 2023.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successfully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judgement on the sufficiency of the Anaphylm clinical development program until completion of ongoing and planned studies, the results of which are expected to be presented at a pre-NDA meeting with the FDA, which is expected to occur in the second half of 2024.</w:t>
      </w:r>
    </w:p>
    <w:p>
      <w:pPr>
        <w:pStyle w:val="TextBody"/>
        <w:bidi w:val="0"/>
        <w:spacing w:lineRule="auto" w:line="288" w:before="0" w:after="120"/>
        <w:jc w:val="both"/>
        <w:rPr/>
      </w:pPr>
      <w:r>
        <w:rPr>
          <w:rFonts w:ascii="Times New Roman;sans-serif" w:hAnsi="Times New Roman;sans-serif"/>
          <w:b w:val="false"/>
          <w:color w:val="000000"/>
          <w:sz w:val="20"/>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of epinephrine PK biocomparability of the single administration of Anaphylm to the single administration of Adrenalin (epinephrine IM injection) and autoinjectors in healthy adult subjects was met, as well as the secondary endpoints which included evaluating the PK sustainability of Anaphylm following repeat administration and the safety and tolerability of Anaphylm following single and repeat administrations versus epinephrine IM injection and epinephrine autoinjectors.</w:t>
      </w:r>
      <w:r>
        <w:rPr>
          <w:color w:val="000000"/>
        </w:rPr>
        <w:t xml:space="preserve"> </w:t>
      </w:r>
    </w:p>
    <w:p>
      <w:pPr>
        <w:pStyle w:val="TextBody"/>
        <w:bidi w:val="0"/>
        <w:spacing w:lineRule="auto" w:line="288" w:before="0" w:after="120"/>
        <w:jc w:val="both"/>
        <w:rPr/>
      </w:pPr>
      <w:r>
        <w:rPr>
          <w:rFonts w:ascii="Times New Roman;sans-serif" w:hAnsi="Times New Roman;sans-serif"/>
          <w:b w:val="false"/>
          <w:color w:val="000000"/>
          <w:sz w:val="22"/>
        </w:rPr>
        <w:t>I</w:t>
      </w:r>
      <w:r>
        <w:rPr>
          <w:rFonts w:ascii="Times New Roman;sans-serif" w:hAnsi="Times New Roman;sans-serif"/>
          <w:b w:val="false"/>
          <w:color w:val="000000"/>
          <w:sz w:val="20"/>
        </w:rPr>
        <w:t xml:space="preserve">n June 2024, we reported positive topline pharmacokinetic (PK) data from the temperature / pH study of Anaphylm™. The single-dose, five-period, randomized crossover study was designed to compare the PK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pharmacodynamics (PD) of Anaphylm just after consuming normal water at different temperatures (hot, cold, and room temperature) as well as water of different pHs (acidic-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we reported positive topline data from the self-administration PK study of Anaphylm. The single-dose, three-period, randomized crossover study was designed to compare the PK and PD of Anaphylm self-administered, Anaphylm healthcare provider (HCP)-administered, and Adrenalin manual intramuscular (IM) injection HCP- administered. The primary PK parameters were the maximum amount of epinephrine measured in plasma (Cmax) and exposure, or the area under the curve (AUC), at predefined time points after dosing in 36 healthy adult subjects. The median time to maximum concentration (Tmax) was 15 minutes for both the Anaphylm self-administered and HCP-administered arms, while the median Tmax for the Adrenalin IM HCP administered arm was 50 minutes post 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is self-administered or HCP-administered.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conducting additional studies for Anaphylm in line with our stated timeline. FDA feedback on the allergen exposure study was recently received, and we remain on track to complete the oral allergy syndrome challenge study late in the third quarter or early fourth quarter of 2024. We plan to request a pre-NDA meeting with the FDA in the third quarter of of 2024 and to commence the pediatric study for Anaphylm in patients from the ages of 7 to 17 (weight greater than or equal to 30 kgs) immediately after the pre-NDA meeting based on feedback from the FDA. Once the pediatric study is completed, we will file our NDA. We expect to begin the NDA submission with the FDA in December 2024 and complete the NDA submission in the first quarter of 2025. If the FDA approves the NDA for Anaphylm, we expect to initiate a launch the product at the end of 2025 or in the first quarter of 2026 assuming the completion of the NDA submission in the first quarter of 2025.</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AQST-108 </w:t>
      </w:r>
      <w:r>
        <w:rPr>
          <w:rFonts w:ascii="Times New Roman;sans-serif" w:hAnsi="Times New Roman;sans-serif"/>
          <w:b w:val="false"/>
          <w:color w:val="000000"/>
          <w:sz w:val="20"/>
        </w:rPr>
        <w:t>(epinephrine) topical gel – Our product candidate, AQST-108 is composed of the prodrug dipivefrin which is enzymatically cleaved into epinephrine after administration. Dipivefrin is currently available outside of the U.S. for ophthalmic indications. A topical gel formulation delivering systemic epinephrine has been developed by Aquestive for the treatment of conditions other than anaphylaxis. Based on topline results of a prior Phase 1 PK trial in 28 healthy adult volunteers conducted by Aquestive, AQST-108 was generally well-tolerated, with systemic adverse events observed that are consistent with the known adverse events profile for epinephrine. Additional indications and delivery methods are currently being explored for AQST-108 under the Adrenaverse platform which contains a library of over twenty epinephrine prodrugs that can control absorption and conversion rates across a variety of dosage forms and delivery sites. Although epinephrine is a vasoconstrictor and does not penetrate well through the skin, we believe that AQST-108 may allow for topical absorption, thereby creating the potential treatment for a variety of dermatological conditions. Based on preclinical data, we have seen rapid absorption of AQST-108 across porcine tissue. We have completed an initial formulation of a topical product using AQST-108 and have initiated testing ascending doses of the formulation in humans. Upon completion of the preclinical and feasibility work relating to this program, we expect to request a pre-IND meeting for AQST-108 with the FDA in the fourth quarter of 2024 and are planning to initiate a Phase 2a study in the first half of 2025. We plan to provide additional information about specific potential indications and market opportunities for AQST-108 in the second half of 2024.</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CNS Product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believe the application of our proprietary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particularly valuable and relevant to patients suffering from certain CNS disorders to meet patients’ unmet medical needs and to solve patients’ therapeutic problems. Additionally, our know-how and proprietary position have broad application beyond CNS, and we plan to explore the applications of PharmFilm in other disease areas.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Libervant™</w:t>
      </w:r>
      <w:r>
        <w:rPr>
          <w:color w:val="000000"/>
        </w:rPr>
        <w:t xml:space="preserve"> – </w:t>
      </w:r>
      <w:r>
        <w:rPr>
          <w:rFonts w:ascii="Times New Roman;sans-serif" w:hAnsi="Times New Roman;sans-serif"/>
          <w:b w:val="false"/>
          <w:color w:val="000000"/>
          <w:sz w:val="20"/>
        </w:rPr>
        <w:t xml:space="preserve">a buccally, or inside of the cheek, administered soluble film formulation of diazepam is our most advanced proprietary product. Aquestive developed Libervant as an alternative to device-dependent rescue therapies currently available to patients with refractory epilepsy, which are a rectal gel and nasal sprays. </w:t>
      </w:r>
    </w:p>
    <w:p>
      <w:pPr>
        <w:pStyle w:val="TextBody"/>
        <w:bidi w:val="0"/>
        <w:spacing w:lineRule="auto" w:line="288" w:before="0" w:after="120"/>
        <w:jc w:val="both"/>
        <w:rPr/>
      </w:pPr>
      <w:r>
        <w:rPr>
          <w:rFonts w:ascii="Times New Roman;sans-serif" w:hAnsi="Times New Roman;sans-serif"/>
          <w:b w:val="false"/>
          <w:color w:val="000000"/>
          <w:sz w:val="20"/>
        </w:rPr>
        <w:t>On April 26, 2024, the FDA approved Libervant for U.S. market access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seizure clusters, acute repetitive seizures) that are distinct from a patient’s usual seizure pattern in patients with epilepsy between two and five years of age. The only other current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approved product for these epilepsy patients between two and five years of age is a diazepam rectal gel. We launched Libervant for patients between the ages of two and five years and expect to expand our commercial activities for this pediatric patient population with up to ten sales representatives in the third quarter of 2024. We are also expanding our distribution network and expect to have national retail distribution capabilities in place by the fourth quarter of 2024, as well as broadening Medicaid and commercial coverage in the coming months. Medicaid accounts for up to fifty percent of all prescriptions among this pediatric patient population. </w:t>
      </w:r>
    </w:p>
    <w:p>
      <w:pPr>
        <w:pStyle w:val="TextBody"/>
        <w:bidi w:val="0"/>
        <w:spacing w:lineRule="auto" w:line="288" w:before="0" w:after="120"/>
        <w:jc w:val="both"/>
        <w:rPr/>
      </w:pPr>
      <w:r>
        <w:rPr>
          <w:rFonts w:ascii="Times New Roman;sans-serif" w:hAnsi="Times New Roman;sans-serif"/>
          <w:b w:val="false"/>
          <w:color w:val="000000"/>
          <w:sz w:val="20"/>
        </w:rPr>
        <w:t>Prior to the FDA approval of Libervant for patients between two to five years old, the FDA granted tentative approval in August 2022 for Libervant for the same indication in patients with epilepsy 12 years of age and older, finding that Libervant had met all required quality, safety, and efficacy standards for approval. However, due to an existing FDA regulatory grant of orphan drug market exclusivity for a diazepam nasal spray product sold by another company for use in patients 6 years of age and older, the FDA determined that Libervant was not yet eligible for marketing in the United States for this patient population of 12 years of age and older. We expect to file for FDA approval of these epilepsy patients aged between six and twelve years prior to the expiration of the orphan drug marketing exclusivity block of the nasal spray product. As a result of the orphan drug marketing exclusivity granted by the FDA to the nasal spray product, the FDA cannot give final approval for U.S. market access for Libervant for any age group of 6 and above until the expiration or inapplicability of the orphan drug market exclusivity, including, for example, by a reversal of the FDA’s decision and determination that Libervant is “clinically superior” to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this age group of six years and older earlier than January 2027, the scheduled date for expiration of orphan drug market exclusivity. See “</w:t>
      </w:r>
      <w:r>
        <w:rPr>
          <w:rFonts w:ascii="Times New Roman;sans-serif" w:hAnsi="Times New Roman;sans-serif"/>
          <w:b w:val="false"/>
          <w:i/>
          <w:color w:val="000000"/>
          <w:sz w:val="20"/>
        </w:rPr>
        <w:t>Licensed Commercial Products, Product Candidates and Other Products – Libervant</w:t>
      </w:r>
      <w:r>
        <w:rPr>
          <w:color w:val="000000"/>
        </w:rPr>
        <w:t xml:space="preserve">” </w:t>
      </w:r>
      <w:r>
        <w:rPr>
          <w:rFonts w:ascii="Times New Roman;sans-serif" w:hAnsi="Times New Roman;sans-serif"/>
          <w:b w:val="false"/>
          <w:color w:val="000000"/>
          <w:sz w:val="20"/>
        </w:rPr>
        <w:t>for a discussion of the licensing arrangement for Libervant.</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Licensed Commercial Products, Product Candidates and Other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also includes other products and product candidates that we have licensed, or will seek to license, or for which we have licensed our intellectual property for commercialization. In the years ended December 31, 2023 and 2022, our licensed product portfolio generated $50.6 million and $47.7 million in revenue to Aquestive, respectively. In the six months ended June 30, 2024 and 2023, our licensed product portfolio generated $32,152 and $24,375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Suboxone</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 sublingual film formulation of buprenorphine and naloxone, respectively an opioid agonist and antagonist, that is marketed in the United States and internationally for the 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2.7 billion doses of Suboxone since its launch in 2010. As of June 30, 2024, Suboxone branded products retain approximately 29% film market share as generic film-based products have penetrated this market. We have filed patent infringement lawsuits against certain companies relating to generic film-based products for buprenorphine-naloxone. More details regarding these lawsuits are described in the accompanying unaudited condensed financial statements, Note 19,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xml:space="preserve">, contained herein.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Exservan</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an oral film formulation of riluzole, has been developed by the Company for the treatment of ALS. We believe that Exservan can bring meaningful assistance to patients who are diagnosed with ALS and face difficulties swallowing traditional forms of medication. Exservan was approved by the FDA on November 22, 2019. During the fourth quarter of 2019, we announced the grant of a license to Zambon for the development and commercialization of Exservan in the European Union (or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which it markets as Emylif</w:t>
      </w:r>
      <w:r>
        <w:rPr>
          <w:rFonts w:ascii="Times New Roman;sans-serif" w:hAnsi="Times New Roman;sans-serif"/>
          <w:b w:val="false"/>
          <w:color w:val="000000"/>
          <w:sz w:val="13"/>
        </w:rPr>
        <w:t>®</w:t>
      </w:r>
      <w:r>
        <w:rPr>
          <w:rFonts w:ascii="Times New Roman;sans-serif" w:hAnsi="Times New Roman;sans-serif"/>
          <w:b w:val="false"/>
          <w:color w:val="000000"/>
          <w:sz w:val="20"/>
        </w:rPr>
        <w:t>, and Aquestive is responsible for the development and manufacture of the product. During the second quarter of 2023, Aquestive received a $0.5 million milestone payment in connection with the first commercial sale in the first country in the licensed territory for Exservan pursuant to the terms of the license agreement with Zambon.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we announced that the Company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Exservan was developed to potentially fulfill a critical need for ALS patients, given it can be administered safely and easily, twice daily,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 xml:space="preserve">water. In June 2024, the Company and MTPA mutually agreed to terminate the MTPA Licensing Agreement. See Note 5, </w:t>
      </w:r>
      <w:r>
        <w:rPr>
          <w:rFonts w:ascii="Times New Roman;sans-serif" w:hAnsi="Times New Roman;sans-serif"/>
          <w:b w:val="false"/>
          <w:i/>
          <w:color w:val="000000"/>
          <w:sz w:val="20"/>
        </w:rPr>
        <w:t>Material Agreements</w:t>
      </w:r>
      <w:r>
        <w:rPr>
          <w:color w:val="000000"/>
        </w:rPr>
        <w:t xml:space="preserve"> </w:t>
      </w:r>
      <w:r>
        <w:rPr>
          <w:rFonts w:ascii="Times New Roman;sans-serif" w:hAnsi="Times New Roman;sans-serif"/>
          <w:b w:val="false"/>
          <w:color w:val="000000"/>
          <w:sz w:val="20"/>
        </w:rPr>
        <w:t xml:space="preserve">to our accompanying unaudited condensed financial statements for details. </w:t>
      </w:r>
    </w:p>
    <w:p>
      <w:pPr>
        <w:pStyle w:val="TextBody"/>
        <w:bidi w:val="0"/>
        <w:spacing w:lineRule="auto" w:line="288" w:before="0" w:after="120"/>
        <w:jc w:val="both"/>
        <w:rPr/>
      </w:pPr>
      <w:r>
        <w:rPr>
          <w:rFonts w:ascii="Times New Roman;sans-serif" w:hAnsi="Times New Roman;sans-serif"/>
          <w:b w:val="false"/>
          <w:color w:val="000000"/>
          <w:sz w:val="20"/>
        </w:rPr>
        <w:t xml:space="preserve">In March 2022, we announced the grant of an exclusive license to Haisco for Haisco to develop and commercialize Exservan for the treatment of ALS in China. Haisco is a China-based public pharmaceutical company. Haisco will lead the regulatory and commercialization activities for Exservan in China. Aquestive was the exclusive sole manufacturer and supplier for Exservan in China. Under the terms of license agreement with Haisco, as amended, Aquestive received a $7.0 million upfront payment in September 2022, and was to receive regulatory milestone payments, double-digit royalties on net sales of Exservan in China, and earn manufacturing revenue upon the sale of Exservan in China. In June 2024, the Company and Haisco mutually agreed to terminate the Haisco Agreement. See Note 5, </w:t>
      </w:r>
      <w:r>
        <w:rPr>
          <w:rFonts w:ascii="Times New Roman;sans-serif" w:hAnsi="Times New Roman;sans-serif"/>
          <w:b w:val="false"/>
          <w:i/>
          <w:color w:val="000000"/>
          <w:sz w:val="20"/>
        </w:rPr>
        <w:t xml:space="preserve">Material Agreements </w:t>
      </w:r>
      <w:r>
        <w:rPr>
          <w:rFonts w:ascii="Times New Roman;sans-serif" w:hAnsi="Times New Roman;sans-serif"/>
          <w:b w:val="false"/>
          <w:color w:val="000000"/>
          <w:sz w:val="20"/>
        </w:rPr>
        <w:t xml:space="preserve">to our accompanying unaudited condensed financial statements for details.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KYNMOBI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w:t>
      </w:r>
    </w:p>
    <w:p>
      <w:pPr>
        <w:pStyle w:val="TextBody"/>
        <w:bidi w:val="0"/>
        <w:spacing w:lineRule="auto" w:line="288" w:before="0" w:after="120"/>
        <w:ind w:left="0" w:right="0" w:hanging="360"/>
        <w:jc w:val="both"/>
        <w:rPr/>
      </w:pPr>
      <w:r>
        <w:rPr>
          <w:strike/>
          <w:color w:val="000000"/>
        </w:rPr>
        <w:t>•</w:t>
      </w:r>
      <w:r>
        <w:rPr>
          <w:rFonts w:ascii="Times New Roman;sans-serif" w:hAnsi="Times New Roman;sans-serif"/>
          <w:b/>
          <w:color w:val="000000"/>
          <w:sz w:val="20"/>
        </w:rPr>
        <w:t>Zuplenz</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Hypera received approval to market Zuplenz in Brazil from ANVISA on February 21, 2022. Aquestive manufactures and supplies Ondif to Hypera. We licensed commercial rights for Zuplenz to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 The Company submitted a request for voluntary withdrawal of NDA 022524, Zuplenz, as the product is no longer marketed in the U.S. The request is currently being processed by FDA.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shd w:fill="FFFFFF" w:val="clear"/>
        </w:rPr>
        <w:t>Azstarys</w:t>
      </w:r>
      <w:r>
        <w:rPr>
          <w:rFonts w:ascii="Times New Roman;sans-serif" w:hAnsi="Times New Roman;sans-serif"/>
          <w:b w:val="false"/>
          <w:color w:val="000000"/>
          <w:sz w:val="13"/>
        </w:rPr>
        <w:t>®</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an FDA-approved, once-daily product for the treatment of ADHD in patients age six years or older. AZSTARYS consists of serdexmethylphenidate, a prodrug of d-methylphenidate (d-MPH), co-formulated with immediate release d-MPH. In March 2012, the Company entered into an agreement with Zevra (formerly KemPharm, Inc.)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Pursuant to the terms of the March 2012 agreement with Zevra, the Company has begun to receive </w:t>
      </w:r>
      <w:r>
        <w:rPr>
          <w:rFonts w:ascii="Times New Roman;sans-serif" w:hAnsi="Times New Roman;sans-serif"/>
          <w:b w:val="false"/>
          <w:color w:val="000000"/>
          <w:sz w:val="20"/>
          <w:shd w:fill="FFFFFF" w:val="clear"/>
        </w:rPr>
        <w:t>milestone revenues for Azstarys.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 xml:space="preserve">Libervant™ - </w:t>
      </w:r>
      <w:r>
        <w:rPr>
          <w:rFonts w:ascii="Times New Roman;sans-serif" w:hAnsi="Times New Roman;sans-serif"/>
          <w:b w:val="false"/>
          <w:color w:val="000000"/>
          <w:sz w:val="20"/>
        </w:rPr>
        <w:t>The Company entered into the Pharmanovia Agreement with Pharmanovia, effective as of September 26, 2022, pursuant to which the Company granted Pharmanovia an exclusive license to certain of the Company’s intellectual property to develop and commercialize Libervant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The Company received $3.5 million upon agreement execution. Effective March 27, 2023, the Company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the Company received a non-refundable payment of $2.0 million from Pharmanovia on execution of the Pharmanovia Amendment.</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Sympazan</w:t>
      </w:r>
      <w:r>
        <w:rPr>
          <w:rFonts w:ascii="Times New Roman;sans-serif" w:hAnsi="Times New Roman;sans-serif"/>
          <w:b/>
          <w:color w:val="000000"/>
          <w:sz w:val="13"/>
        </w:rPr>
        <w:t xml:space="preserve">® </w:t>
      </w:r>
      <w:r>
        <w:rPr>
          <w:color w:val="000000"/>
        </w:rPr>
        <w:t xml:space="preserve">– </w:t>
      </w:r>
      <w:r>
        <w:rPr>
          <w:rFonts w:ascii="Times New Roman;sans-serif" w:hAnsi="Times New Roman;sans-serif"/>
          <w:b w:val="false"/>
          <w:color w:val="000000"/>
          <w:sz w:val="20"/>
        </w:rPr>
        <w:t xml:space="preserve">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October 26, 2022, the Company entered into the Assertio Agreement with Otter Pharmaceuticals, LLC, a subsidiary of Assertio Holdings, Inc., pursuant to which the Company granted an exclusive, worldwide license of its intellectual property for Sympazan to Assertio during the term of that agreement for an upfront payment of $9.0 million. Additionally, the Company subsequently received from Assertio a $6.0 million milestone payment upon the Company's receipt of a notice of allowance from the United States Patent and Trademark Office of its patent application U.S. Serial No. 16/561,573, and payment of the related allowance fee. The Company is the exclusive sole manufacturer and supplier of Sympazan for Assertio and will receive manufacturing fees from Assertio for the product through the expiration of such supply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use of estimates as previously disclosed in our 2023 Annual Report on Form 10-K.</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JOBS Act and Smaller Reporting Company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no longer an “emerging growth company,” as defined in the United States JOBS Act. While we were an emerging growth company, we were able to take advantage of exemptions from various reporting requirements that are applicable to other public companies that are not “emerging growth companies,” including exemption from compliance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Even though we are no longer an emerging growth company, we remain exempt from the auditor attestation requirements of Section 404(b) of the Sarbanes-Oxley Act pursuant to rules of the SEC.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remain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Our revenues to date have been earned from our manufactured products made to order for licensees.</w:t>
      </w:r>
      <w:r>
        <w:rPr>
          <w:color w:val="000000"/>
          <w:shd w:fill="FFFFFF" w:val="clear"/>
        </w:rPr>
        <w:t xml:space="preserve"> </w:t>
      </w:r>
      <w:r>
        <w:rPr>
          <w:rFonts w:ascii="Times New Roman;sans-serif" w:hAnsi="Times New Roman;sans-serif"/>
          <w:b w:val="false"/>
          <w:color w:val="000000"/>
          <w:sz w:val="20"/>
          <w:shd w:fill="FFFFFF" w:val="clear"/>
        </w:rPr>
        <w:t>R</w:t>
      </w:r>
      <w:r>
        <w:rPr>
          <w:rFonts w:ascii="Times New Roman;sans-serif" w:hAnsi="Times New Roman;sans-serif"/>
          <w:b w:val="false"/>
          <w:color w:val="000000"/>
          <w:sz w:val="20"/>
        </w:rPr>
        <w:t>evenues are also earned from our product development services provided under contracts with customers, and from the licensing of our intellectual property. These activities generate revenues in three primary categories: manufacture and supply revenue, co-development and research fees, and license and royalty revenue.</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Co-development and Research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Royalty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seek to rationalize and manage costs to prepare for a potential decline in Suboxone volumes as the generics in that market continue to take market share, at least partially offset by anticipated manufacturing revenue of our licensed products including Sympazan, subsequent to the Assertio Agreement in October 2022. In addition to our proprietary products coming online, we may add licensee products which may need additional resources to manufacture. If such growth should occur for higher volume product opportunities such as Suboxone and Ondansetron, we would incur increased costs associated with hiring additional personnel to support the increased manufacturing and supply costs arising from higher manufactured volumes from licensed products.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significant resources on our research and development activities. Research and development expenses primarily consist of:</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continue to be significant over the next several years as we continue to develop existing product candidates such as Anaphylm,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engineering, and other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manage business costs to prepare for a potential future decline in Suboxone revenue and other external factors affecting our business, as we continue to focus on our core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the development of Anaphylm and AQST-108;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Commercializing Libervant after approval from the FDA on April 26, 2024 for the acute treatment of intermittent, stereotypic episodes of frequent seizure activity that are distinct from a patient’s usual seizure pattern in pediatric patients with epilepsy between two and five years of age.</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consists of interest costs on the outstanding balances of our 12.5% Notes and 13.5% Notes at a fixed rate of 12.5% and 13.5%, respectively, payable quarterly, as well as amortization of loan costs and debt discounts. The redemption of 12.5% Notes and the issuance of 13.5% Notes are discussed in Note 13,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our Condensed Financial Statements.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below for further detail on our 12.5% Notes and 13.5% Notes.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$56,926 over the $13,856 of the allocated fair value is recognized as a discount related to the Royalty Right Agreements and is amortized as interest expense using the effective interest method. The 13.5% Notes are discussed in Note 13,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to our Condensed Financial Statements</w:t>
      </w:r>
      <w:r>
        <w:rPr>
          <w:rFonts w:ascii="Times New Roman;sans-serif" w:hAnsi="Times New Roman;sans-serif"/>
          <w:b w:val="false"/>
          <w:i/>
          <w:color w:val="000000"/>
          <w:sz w:val="20"/>
        </w:rPr>
        <w: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the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June 30, 2024 under the Monetization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sans-serif" w:hAnsi="Times New Roman;sans-serif"/>
          <w:b w:val="false"/>
          <w:i/>
          <w:color w:val="000000"/>
          <w:sz w:val="20"/>
        </w:rPr>
        <w:t xml:space="preserve">Transfer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i/>
          <w:color w:val="000000"/>
          <w:sz w:val="20"/>
        </w:rPr>
        <w:t xml:space="preserve">and Servicing </w:t>
      </w:r>
      <w:r>
        <w:rPr>
          <w:rFonts w:ascii="Times New Roman;sans-serif" w:hAnsi="Times New Roman;sans-serif"/>
          <w:b w:val="false"/>
          <w:color w:val="000000"/>
          <w:sz w:val="20"/>
        </w:rPr>
        <w:t xml:space="preserve">to determine whether the existing receivable was transferred to Marathon and concluded that the receivable was not transferred.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to our Condensed Financial Statements for further detail.</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 and other income,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consists of earnings derived from an interest-bearing account, and other miscellaneous income and expense items. The interest-bearing account has no minimum amount to be maintained in the account nor any fixed length of period for which interest is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Comparison of the Three and Six Months Ended June 30, 2024 and 2023</w:t>
      </w:r>
    </w:p>
    <w:p>
      <w:pPr>
        <w:pStyle w:val="TextBody"/>
        <w:bidi w:val="0"/>
        <w:spacing w:lineRule="auto" w:line="288" w:before="0" w:after="120"/>
        <w:jc w:val="left"/>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revenue data for the periods indicated.</w:t>
      </w:r>
    </w:p>
    <w:tbl>
      <w:tblPr>
        <w:tblW w:w="11360" w:type="dxa"/>
        <w:jc w:val="left"/>
        <w:tblInd w:w="0" w:type="dxa"/>
        <w:tblLayout w:type="fixed"/>
        <w:tblCellMar>
          <w:top w:w="28" w:type="dxa"/>
          <w:left w:w="28" w:type="dxa"/>
          <w:bottom w:w="28" w:type="dxa"/>
          <w:right w:w="28" w:type="dxa"/>
        </w:tblCellMar>
      </w:tblPr>
      <w:tblGrid>
        <w:gridCol w:w="844"/>
        <w:gridCol w:w="320"/>
        <w:gridCol w:w="322"/>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2"/>
        <w:gridCol w:w="234"/>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2"/>
        <w:gridCol w:w="234"/>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br/>
              <w:t>Change</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Three Months Ended June 30, 2024 Compared to Three Months Ended June 30,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total revenues increased 52%, or $6,858 compared to the same period in the prior year due to certain one-time increases in license and royalty revenue and co-development and research fees, partially offset by decreases in 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 decreased approximately 30%, or $3,513 for the three months ended June 30, 2024 compared to the same period in the prior year. This decrease was primarily due to a 26%, or $2,347 decrease in Suboxone revenue and a 53%, or $956 decrease in Ondif revenue that were attributable to a decrease in volume due to timing of orders.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 increased 658%, or $9,739 for the three months ended June 30, 2024 compared to the same period in the prior year. This increase was primarily due to the one-time recognition of deferred revenues of $7,000 due to the termination of the Licensing and Supply Agreement with Haisco and of $3,317 due to the termination of the Licensing Agreement with MTPA. This increase was partially offset by a $500 decrease in license revenue recognized in the prior period for Azstarys from Zevra.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increased 510%, or $632 for the three months ended June 30, 2024 compared to the same period in the prior year. The increase was driven by the timing of the achievement of research and development performance obligations which are expected to fluctuate from among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Six Months Ended June 30, 2024 Compared to Six Months Ended June 30,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total revenues increased 32%, or $7,777 compared to the same period in the prior year. The increase was primarily due to certain one- time increases in license and royalty revenue and co-development and research fees, partially offset by decreases in 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 decreased approximately 13%, or $2,757 for the six months ended June 30, 2024 compared to the same period in the prior year. This decrease was primarily due to a 74%, or $2,452 decrease in Ondif revenue attributable to a decrease in volume due to timing of orders and a 3%, or $490 decrease in Suboxone revenue mainly due to retroactive price increases in the prior period. These decreases were partially offset by a $457 increase in Exservan revenues from Zambon. As part of the Indivior Amendment 11 to the Commercial Exploitation Agreement, we received retroactive price increases related to 2022 Suboxone purchases in the amount of $1,682 which was recognized in Manufacture and supply revenue in the six months ended June 30, 2023. There were no retroactive price adjustments included in Manufacture and supply revenue for the six months ended June 30, 2024.</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 increased 415%, or $9,952 for the six months ended June 30, 2024 compared to the same period in the prior year. This increase was primarily due to the one-time recognition of deferred revenue of $7,000 due to the termination of the Licensing and Supply Agreement with Haisco and of $3,317 due to the termination of the Licensing Agreement with MTPA. These increases were partially offset by a $500 decrease in license revenue recognized in the prior period for Azstarys from Zevra.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increased 101% or $582 for the six months ended June 30, 2024 compared to the same period in the prior year. The increase was driven by the timing of the achievement of research and development performance obligations which are expected to fluctuate among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Expenses, Interest Income and Other Income: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expenses and income for the periods indicated.</w:t>
      </w:r>
    </w:p>
    <w:p>
      <w:pPr>
        <w:pStyle w:val="TextBody"/>
        <w:bidi w:val="0"/>
        <w:spacing w:before="0" w:after="0"/>
        <w:jc w:val="left"/>
        <w:rPr/>
      </w:pPr>
      <w:r>
        <w:rPr/>
      </w:r>
    </w:p>
    <w:tbl>
      <w:tblPr>
        <w:tblW w:w="10910" w:type="dxa"/>
        <w:jc w:val="left"/>
        <w:tblInd w:w="0" w:type="dxa"/>
        <w:tblLayout w:type="fixed"/>
        <w:tblCellMar>
          <w:top w:w="28" w:type="dxa"/>
          <w:left w:w="28" w:type="dxa"/>
          <w:bottom w:w="28" w:type="dxa"/>
          <w:right w:w="28" w:type="dxa"/>
        </w:tblCellMar>
      </w:tblPr>
      <w:tblGrid>
        <w:gridCol w:w="754"/>
        <w:gridCol w:w="320"/>
        <w:gridCol w:w="322"/>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32"/>
        <w:gridCol w:w="234"/>
        <w:gridCol w:w="271"/>
        <w:gridCol w:w="109"/>
        <w:gridCol w:w="109"/>
        <w:gridCol w:w="109"/>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210"/>
        <w:gridCol w:w="211"/>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w:t>
              <w:br/>
              <w:t>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Three Months Ended June 30, 2024 Compared to Three Months Ended June 30,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decreased 32% or $2,091 for the three months ended June 30, 2024 compared to the same period in the prior year. The decrease was largely due to lower volume of strips sold, changes in product mix and lower costs related to production.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20% or $689 for the three months ended June 30, 2024 compared to the same period in the prior year. The increase in Research and development expenses is primarily due to clinical trial costs associated with the continued advancement of the Anaphylm program, an increase in personnel costs, and an increase in share-based compensation. The tables below provide a breakdown of the major costs included in total Research and development expenses and project costs by type of expense for each of the main clinical development projects in which we are engaged for each period presented:</w:t>
      </w:r>
    </w:p>
    <w:tbl>
      <w:tblPr>
        <w:tblW w:w="7627"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1"/>
        <w:gridCol w:w="235"/>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w:t>
              <w:br/>
              <w:t>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02"/>
        <w:gridCol w:w="440"/>
        <w:gridCol w:w="444"/>
        <w:gridCol w:w="211"/>
        <w:gridCol w:w="616"/>
        <w:gridCol w:w="109"/>
        <w:gridCol w:w="109"/>
        <w:gridCol w:w="109"/>
        <w:gridCol w:w="109"/>
        <w:gridCol w:w="211"/>
        <w:gridCol w:w="616"/>
        <w:gridCol w:w="109"/>
        <w:gridCol w:w="209"/>
        <w:gridCol w:w="212"/>
        <w:gridCol w:w="273"/>
        <w:gridCol w:w="211"/>
        <w:gridCol w:w="616"/>
        <w:gridCol w:w="109"/>
        <w:gridCol w:w="109"/>
        <w:gridCol w:w="109"/>
        <w:gridCol w:w="109"/>
        <w:gridCol w:w="211"/>
        <w:gridCol w:w="616"/>
        <w:gridCol w:w="109"/>
        <w:gridCol w:w="209"/>
        <w:gridCol w:w="212"/>
        <w:gridCol w:w="273"/>
        <w:gridCol w:w="109"/>
        <w:gridCol w:w="109"/>
        <w:gridCol w:w="109"/>
        <w:gridCol w:w="109"/>
        <w:gridCol w:w="109"/>
        <w:gridCol w:w="109"/>
        <w:gridCol w:w="109"/>
        <w:gridCol w:w="211"/>
        <w:gridCol w:w="406"/>
        <w:gridCol w:w="109"/>
        <w:gridCol w:w="126"/>
        <w:gridCol w:w="126"/>
        <w:gridCol w:w="127"/>
        <w:gridCol w:w="211"/>
        <w:gridCol w:w="466"/>
        <w:gridCol w:w="109"/>
        <w:gridCol w:w="110"/>
        <w:gridCol w:w="110"/>
        <w:gridCol w:w="159"/>
      </w:tblGrid>
      <w:tr>
        <w:trPr/>
        <w:tc>
          <w:tcPr>
            <w:tcW w:w="5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9"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2270" w:type="dxa"/>
            <w:gridSpan w:val="12"/>
            <w:tcBorders/>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Anaphylm</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Libervant</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c>
          <w:tcPr>
            <w:tcW w:w="1165" w:type="dxa"/>
            <w:gridSpan w:val="6"/>
            <w:tcBorders/>
          </w:tcPr>
          <w:p>
            <w:pPr>
              <w:pStyle w:val="TableContents"/>
              <w:bidi w:val="0"/>
              <w:spacing w:before="0" w:after="283"/>
              <w:jc w:val="left"/>
              <w:rPr>
                <w:sz w:val="4"/>
                <w:szCs w:val="4"/>
              </w:rPr>
            </w:pPr>
            <w:r>
              <w:rPr>
                <w:sz w:val="4"/>
                <w:szCs w:val="4"/>
              </w:rPr>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total project expenses for Anaphlym increased 22%, or $307 over the same period in 2023. During the three months ended June 30, 2024, Anaphlym clinical trial expenses and product research expenses increased $341 and $52, respectively, over the same period in 2023, partially offset by decreases in development and manufacturing of $86. During the three months ended June 30, 2024, clinical trial expenses for Anaphlym of $1,509 were primarily due to clinical trial costs associated with the continued advancement of the Anaphylm program. During the three months ended June 30, 2023, clinical trial expenses for Anaphlym of $1,168 were related to the activities leading up to the Phase 3 PK Study. During the three months ended June 30, 2023, product research expenses for Libervant of $209 were primarily due to data integration and modeling work.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personnel costs increased by 23% or $327, for the three months ended June 30, 2024 compared to the same period in 2023 due to additional headcount. R&amp;D share based compensation increased by $207, or 205% primarily related to awards granted to our Chief Medical Officer upon his commencement of employment and the effect of new grants in 2024 to R&amp;D personnel. </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other R&amp;D expenses include rent, utilities, maintenance and other expenses and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54% or $3,996 for the three months ended June 30, 2024 as compared to the same period in the prior year. The increase primarily represents higher personnel costs of approximately $500, higher share-based compensation expenses of $640, higher regulatory and licensing fees of $360 related to the regulatory fee for Libervant, higher consulting costs of $660, higher expenses of $1,640 due to a change in the allocation of manufacture and supply costs compared to the prior period and other expenses, partially offset by decreases in other general and administrative costs including insurance expense.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102% or $1,406 for the three months ended June 30, 2024 compared to the same period in the prior year. The increase was mostly driven by the increased amortization of debt issuance costs and discounts on the 13.5% Notes refinancing in November 2023 for the three months ended June 30, 2024 compared to the three months ended June 30, 2023.</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royalty obligations represents amortization of the discount on the royalty obligations. For the three months ended June 30, 2024, the amount was $1,358. </w:t>
      </w:r>
      <w:r>
        <w:rPr>
          <w:rFonts w:ascii="Times New Roman;sans-serif" w:hAnsi="Times New Roman;sans-serif"/>
          <w:b w:val="false"/>
          <w:color w:val="000000"/>
          <w:sz w:val="20"/>
          <w:shd w:fill="FFFFFF" w:val="clear"/>
        </w:rPr>
        <w:t xml:space="preserve">This amount is due to the accounting associated with the royalty obligations as part of the 13.5% Notes issuance. There were no expenses related to the royalty obligations in the </w:t>
      </w:r>
      <w:r>
        <w:rPr>
          <w:rFonts w:ascii="Times New Roman;sans-serif" w:hAnsi="Times New Roman;sans-serif"/>
          <w:b w:val="false"/>
          <w:color w:val="000000"/>
          <w:sz w:val="20"/>
        </w:rPr>
        <w:t>same period in 2023.</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the sale of future revenue was $58 and $55 for the three months ended June 30, 2024 and June 30, 2023,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was $1,395 for the three months ended June 30, 2024 which primarily represents a gain of $1,500 on the termination of a license and supply agreement, which was partially offset by the adjustment of $1,200 to the remaining balance of the intangible asset due to the termination of the agreement, and higher investment income due to a higher cash balance invested in interest-bearing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Six Months Ended June 30, 2024 Compared to Six Months Ended June 30,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decreased 21% or $2,439 for the six months ended June 30, 2024 compared to the same period in the prior year. The decrease was largely due to lower volume of strips sold, changes in product mix, and lower costs related to production.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44% or $3,074 for the six months ended June 30, 2024 compared to the same period in the prior year. Research and development expenses are driven primarily by the timing of clinical trial and other product development activities associated with our pipeline. The tables below provide a breakdown of the major costs included in total Research and development expenses and project costs by type of expense for each of the main clinical development projects in which we are engaged for each period presented:</w:t>
      </w:r>
    </w:p>
    <w:tbl>
      <w:tblPr>
        <w:tblW w:w="7991"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1"/>
        <w:gridCol w:w="235"/>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R&amp;D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1905" w:type="dxa"/>
        <w:jc w:val="left"/>
        <w:tblInd w:w="0" w:type="dxa"/>
        <w:tblLayout w:type="fixed"/>
        <w:tblCellMar>
          <w:top w:w="28" w:type="dxa"/>
          <w:left w:w="28" w:type="dxa"/>
          <w:bottom w:w="28" w:type="dxa"/>
          <w:right w:w="28" w:type="dxa"/>
        </w:tblCellMar>
      </w:tblPr>
      <w:tblGrid>
        <w:gridCol w:w="484"/>
        <w:gridCol w:w="424"/>
        <w:gridCol w:w="428"/>
        <w:gridCol w:w="211"/>
        <w:gridCol w:w="616"/>
        <w:gridCol w:w="109"/>
        <w:gridCol w:w="109"/>
        <w:gridCol w:w="109"/>
        <w:gridCol w:w="109"/>
        <w:gridCol w:w="211"/>
        <w:gridCol w:w="616"/>
        <w:gridCol w:w="109"/>
        <w:gridCol w:w="209"/>
        <w:gridCol w:w="212"/>
        <w:gridCol w:w="271"/>
        <w:gridCol w:w="211"/>
        <w:gridCol w:w="616"/>
        <w:gridCol w:w="109"/>
        <w:gridCol w:w="109"/>
        <w:gridCol w:w="109"/>
        <w:gridCol w:w="109"/>
        <w:gridCol w:w="211"/>
        <w:gridCol w:w="616"/>
        <w:gridCol w:w="109"/>
        <w:gridCol w:w="209"/>
        <w:gridCol w:w="212"/>
        <w:gridCol w:w="271"/>
        <w:gridCol w:w="109"/>
        <w:gridCol w:w="109"/>
        <w:gridCol w:w="109"/>
        <w:gridCol w:w="211"/>
        <w:gridCol w:w="466"/>
        <w:gridCol w:w="109"/>
        <w:gridCol w:w="109"/>
        <w:gridCol w:w="109"/>
        <w:gridCol w:w="109"/>
        <w:gridCol w:w="211"/>
        <w:gridCol w:w="406"/>
        <w:gridCol w:w="109"/>
        <w:gridCol w:w="135"/>
        <w:gridCol w:w="135"/>
        <w:gridCol w:w="136"/>
        <w:gridCol w:w="211"/>
        <w:gridCol w:w="361"/>
        <w:gridCol w:w="109"/>
        <w:gridCol w:w="109"/>
        <w:gridCol w:w="109"/>
        <w:gridCol w:w="109"/>
        <w:gridCol w:w="211"/>
        <w:gridCol w:w="466"/>
        <w:gridCol w:w="109"/>
        <w:gridCol w:w="123"/>
        <w:gridCol w:w="123"/>
        <w:gridCol w:w="17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9"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Anaphylm</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AQST-108</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Libervant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total project expenses for Anaphlym increased 57%, or $1,753 over the same period in 2023. During the six months ended June 30, 2024, clinical trial expenses for Anaphlym increased 75% or $1,920 over the same period in 2023 offset by decreases in development and manufacturing and product research expenses of $142 and $25, respectively. During the six months ended June 30, 2024, clinical trial expenses for Anaphlym of $4,484 were primarily due to clinical trial costs associated with the continued advancement of the Anaphylm program. During the six months ended June 30, 2023, clinical trial expenses for Anaphlym of $2,564 were related to the activities leading up to the Phase 3 PK Study. During the six months ended June 30, 2024, total project expenses for AQST-108 increased $789 over the same period in 2023 and were related to feasibility work for AQST-108. During the six months ended June 30, 2023, product research expenses for Libervant of $215 were primarily due to data integration and modeling work.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personnel costs increased by 16%, or $458, for the six months ended June 30, 2024. as compared to the same period in 2023, due to additional headcount. R&amp;D share-based compensation increased by $305, or 176%, which was primarily related to awards granted to our Chief Medical Officer upon his commencement of employment and the effect of new grants in 2024 to R&amp;D personnel. </w:t>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other R&amp;D expenses include rent, utilities, maintenance and other expenses and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49% or 7,230 for the six months ended June 30, 2024 as compared to the same period in the prior year. The increase primarily represents higher personnel costs of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$1,600, one-time severance costs of approximately $1,100, higher share-based compensation expenses of $1,260, higher regulatory and licensing fees of approximately $360, higher expenses of $2,570 due to a year-over-year change in the allocation of manufacture and supply costs, and higher consulting expenses of approximately $940 and other expenses, partially offset by lower legal fees of $830, and decreases in other general and administrative costs including insurance expense.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98% or $2,755 for the six months ended June 30, 2024 as compared to the same period in the prior year. The increase was mostly driven by the increased amortization of debt issuance costs and discounts on the 13.5% Notes refinancing in November 2023 for the six months ended June 30, 2024 compared to the six months ended June 30, 2023.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royalty obligations represents amortization of the discount on the royalty obligations. For the six months ended June 30, 2024, the amount was $2,716. </w:t>
      </w:r>
      <w:r>
        <w:rPr>
          <w:rFonts w:ascii="Times New Roman;sans-serif" w:hAnsi="Times New Roman;sans-serif"/>
          <w:b w:val="false"/>
          <w:color w:val="000000"/>
          <w:sz w:val="20"/>
          <w:shd w:fill="FFFFFF" w:val="clear"/>
        </w:rPr>
        <w:t xml:space="preserve">This amount is due to the accounting associated with the royalty obligations as part of the 13.5% Notes issuance. There were no expenses related to the royalty obligations in the </w:t>
      </w:r>
      <w:r>
        <w:rPr>
          <w:rFonts w:ascii="Times New Roman;sans-serif" w:hAnsi="Times New Roman;sans-serif"/>
          <w:b w:val="false"/>
          <w:color w:val="000000"/>
          <w:sz w:val="20"/>
        </w:rPr>
        <w:t>same period in 2023.</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the sale of future revenue was $116 and $107 for the six months ended June 30, 2024 and June 30, 2023,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was $1,724 for the six months ended June 30, 2024, as compared to interest and other income, net of $14,642 for the six months ended June 30, 2023. The decrease by $12,918 is due to other income of $6,000 related to the Amendment 11 to the Indivior Commercial Exploitation Agreement, $8,500 related to the patent litigation settlement with BioDelivery Sciences International, Inc. and the receipt of the ERTC, which were recognized in the six months ended June 30, 2023 and did not reoccur during the comparable period. During the six months ended June 30, 2024, we recognized a gain of $1,500 on the termination of a license and supply agreement, which was partially offset by the adjustment of $1,200 to the remaining balance of the intangible asset due to the termination of the agreement and higher investment income due to a higher cash balance invested in interest-bearing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$89,870 in cash and cash equivalents as of June 30, 2024. While our ability to execute our business objectives and achieve profitability over the longer term cannot be assured, our on-going business, existing cash and cash equivalents, expense management activities, as well as access to the equity capital markets, including through the ATM facility and under the Lincoln Park Purchase Agreement, provide near term liquidity for us to fund our operating needs for at least the next twelve months as we continue to execute our business strategy. As discussed below, on November 1, 2023, we issued $45,000 in aggregate principal amount of 13.5% Notes due November 1, 2028. A portion of the net proceeds from this transaction was used to redeem all of the outstanding 12.5% Notes and to pay expenses relating to that offering, with the balance of the proceeds to be used for general corporate purposes.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2021, we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12.5% Notes or the interest payment obligation due under the 12.5 Notes. In connection with the Fourth Supplemental Indenture, we entered into a Consent Fee Letter with the holders of the 12.5% Notes, pursuant to which we agreed to pay the holders of the 12.5% Notes an additional cash payment of $2,700 in the aggregate, payable in four quarterly payments beginning May 15, 2022. The last quarterly payment was made during the three months ended March 31,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redeemed $5,647 of our outstanding 12.5% Notes. We also paid $353 in prepayment premium as result of the early retirement of debt which was reflected as a loss on extinguishment of debt in our Condensed Statements of Operations and Comprehensive (Loss) Income for the six months ended June 30, 2023. The prepayments along with the scheduled principal payments of $6,878 in the first half of 2023 reduced the net balance of the 12.5% Notes outstanding in the aggregate to $38,975 as of June 30, 2023.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established our first ATM facility in September 2019, and since inception to June 30, 2024, we have sold 19,857,518 shares of Common Stock which has generated net cash proceeds of approximately $60,558, net of commissions and other transactions costs of $3,085. On April 3, 2024, we filed a new shelf registration statement on Form S-3 to register the offer and sale of up to $250,000 worth of shares of Common Stock ("Registration Statement No. 333-278498" or the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Registration Statement"), that was declared effective by the SEC on April 23, 2024. Included as part of the 2024 Registration Statement was a $100,000 ATM facility pursuant to the Amended Equity Distribution Agreement with Piper Sandler &amp; Co.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there were no shares of Common Stock sold under the ATM facility. For the six months ended June 30, 2024, we sold 4,557,220 shares of Common Stock under the ATM facility which provided net proceeds of approximately $11,855 after deducting commissions and other transaction costs of $530. For the six months ended June 30, 2023, we sold 3,060,559 shares under the ATM facility which provided net proceeds of approximately $5,090 after deducting commissions and other transaction costs of $312.</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In 2022, we sold 1,600,000 shares in addition to 236,491 commitment shares, which provided proceeds of approximately $1,987 in connection with the Lincoln Park Purchase Agreement</w:t>
      </w:r>
      <w:r>
        <w:rPr>
          <w:rFonts w:ascii="Times New Roman;sans-serif" w:hAnsi="Times New Roman;sans-serif"/>
          <w:b/>
          <w:color w:val="000000"/>
          <w:sz w:val="20"/>
        </w:rPr>
        <w:t xml:space="preserve">. </w:t>
      </w:r>
      <w:r>
        <w:rPr>
          <w:rFonts w:ascii="Times New Roman;sans-serif" w:hAnsi="Times New Roman;sans-serif"/>
          <w:b w:val="false"/>
          <w:color w:val="000000"/>
          <w:sz w:val="20"/>
        </w:rPr>
        <w:t>We did not sell shares in connection with the Lincoln Park Purchase Agreement in 2023 or in the six months ended June 30, 2024. We have no current intent to use the Lincoln Park facility.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2022, we entered into the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issued $45,000 aggregate principal amount of its 13.5% Notes due November 1, 2028. A portion of the net proceeds from that offering was used to redeem all of the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Underwritten Public Offering of 16,666,667 shares of our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totaled $894 as of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2024 and 2023</w:t>
      </w:r>
    </w:p>
    <w:tbl>
      <w:tblPr>
        <w:tblW w:w="6819" w:type="dxa"/>
        <w:jc w:val="left"/>
        <w:tblInd w:w="0" w:type="dxa"/>
        <w:tblLayout w:type="fixed"/>
        <w:tblCellMar>
          <w:top w:w="28" w:type="dxa"/>
          <w:left w:w="28" w:type="dxa"/>
          <w:bottom w:w="28" w:type="dxa"/>
          <w:right w:w="28" w:type="dxa"/>
        </w:tblCellMar>
      </w:tblPr>
      <w:tblGrid>
        <w:gridCol w:w="1564"/>
        <w:gridCol w:w="1376"/>
        <w:gridCol w:w="1380"/>
        <w:gridCol w:w="211"/>
        <w:gridCol w:w="796"/>
        <w:gridCol w:w="109"/>
        <w:gridCol w:w="109"/>
        <w:gridCol w:w="109"/>
        <w:gridCol w:w="109"/>
        <w:gridCol w:w="211"/>
        <w:gridCol w:w="69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cash (used for) provided by operating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for the six months ended June 30, 2024 increased by $18,299 compared to the same period in the prior year. The increase in cash used for operating activities was primarily related to the change in net (loss) income of $17,849 and deferred revenue of $15,275, which was attributed to the recognition of deferred revenues due to the termination of license and supply agreements during the three months ended June 30, 2024, and changes in other current liabilities, partially offset by decreases in trade and other receivables of $7,214. Other changes were mainly due to higher amortization of debt issuance costs and discounts of $5,227 on the 13.5% Notes refinancing in November 2023 and an increase in share-based compensation of $2,144 as compared with the six months ended June 30,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cash used for investing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for the six months ended June 30, 2024 decreased by $764 compared to the same period in the prior year. The use of cash was related to capital expenditures.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cash provided by (used for) financing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June 30, 2024 increased by $88,370 compared to the same period in the prior year. The increase was primarily related to the Underwritten Public Offering which provided net proceeds of $71,974, higher ATM proceeds of $6,727 due to higher volumes and Common Stock prices as compared to the six months ended June 30, 2023, largely offset by the 12.5% Notes principal payments and premium paid to retire debt in the six months ended June 30,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Our on-going business, existing cash and equivalents, expense management activities as well as access to the equity capital markets, including through our ATM facility and under the Lincoln Park Purchase Agreement, potentially provide near term funding opportunities for Aquestive, see “</w:t>
      </w:r>
      <w:r>
        <w:rPr>
          <w:rFonts w:ascii="Times New Roman;sans-serif" w:hAnsi="Times New Roman;sans-serif"/>
          <w:b w:val="false"/>
          <w:i/>
          <w:color w:val="000000"/>
          <w:sz w:val="20"/>
        </w:rPr>
        <w:t>Liquidity and Capital Resources</w:t>
      </w:r>
      <w:r>
        <w:rPr>
          <w:color w:val="000000"/>
        </w:rPr>
        <w:t>”</w:t>
      </w:r>
      <w:r>
        <w:rPr>
          <w:rFonts w:ascii="Times New Roman;sans-serif" w:hAnsi="Times New Roman;sans-serif"/>
          <w:b w:val="false"/>
          <w:color w:val="000000"/>
          <w:sz w:val="20"/>
        </w:rPr>
        <w:t xml:space="preserve">. On November 1, 2023, we issued $45,000 in aggregate principal amount of the 13.5% Notes due November 1, 2028. A portion of the net proceeds from that offering were used to redeem all of the outstanding 12.5% Notes and to pay expenses relating to that offering, with the balance of the proceeds to be used for general corporate purposes.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Underwritten Public Offering of 16,666,667 shares of our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totaled $894 as of June 30, 2024.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use the net proceeds received from these transactions, together with the Company’s existing cash and cash equivalents, primarily to advance the development and commercialization of the Company's product pipeline, including Libervant, for the treatment of seizure clusters in epilepsy patients between two and five years of age, and Anaphylm, and for working capital, capital expenditures and general corporate purposes.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access to debt or equity markets if, and at the time, needed for any necessary future funding, including our ability to access funding through our ATM facility and under the Lincoln Park Purchase Agreement, should we choose to access those facilities;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growth and market penetration of Sympazan, including anticipated patient and physician acceptance and our licensee’s ability to obtain adequate reimbursement and payment support from government agencies and other private medical insurers;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effective commercialization within anticipated cost levels and expected ramp-up timeframes of our product Libervant for pediatric patients between two and five years of age;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manageable level of costs for ongoing efforts to protect our intellectual property rights and litigation matters in which we are involved;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compliance with all covenants under our 13.5% Notes, including our ability to comply with our debt service obligations as required thereunder;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absence of significant unforeseen cash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further advance the commercialization of Libervant for pediatric patients between two and five years of age and development and commercialization of Anaphylm and AQST-108, if approved by the FDA, and to meet our other cash requirements, including debt service, specifically our 13.5% Notes. We plan to conservatively manage our launch spending as to both timing and level relating to Libervant in light of the approval of Libervant by the FDA for patients between two and five years of age.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and royalty obligation payments projected to be made from 2025 to 2033, which are further discussed in Note 13,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to our Condensed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that we will continue to be successful in raising capital or that any such needed financing will be available on favorable or acceptable terms, if at all.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adequate funds are not available for our short-term or longer-term liquidity needs and cash requirements as and when needed, we would be required to engage in expense management activities such as reducing staff, delaying,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scaling back, or even discontinuing some or all of our current or planned launch activities and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and monetization opportunities, if any become available, of our proprietary and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defined by Item 10 of Regulation S-K promulgated by the SEC under the U.S. Securities Act of 1933, as amended, we are not required to provide the information required by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2024, our disclosure controls and procedures were effective at a reasonable assurance level.</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Internal Control Over Financial Reporting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jc w:val="both"/>
        <w:rPr/>
      </w:pPr>
      <w:r>
        <w:rPr>
          <w:rFonts w:ascii="Times New Roman;sans-serif" w:hAnsi="Times New Roman;sans-serif"/>
          <w:b w:val="false"/>
          <w:color w:val="000000"/>
          <w:sz w:val="20"/>
        </w:rPr>
        <w:t xml:space="preserve">For more information on Legal Proceedings, see Part I Item I. Financial Statements (Unaudited), Note 19,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2023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furnished as part of this report.</w:t>
      </w:r>
    </w:p>
    <w:tbl>
      <w:tblPr>
        <w:tblW w:w="10205" w:type="dxa"/>
        <w:jc w:val="left"/>
        <w:tblInd w:w="0" w:type="dxa"/>
        <w:tblLayout w:type="fixed"/>
        <w:tblCellMar>
          <w:top w:w="28" w:type="dxa"/>
          <w:left w:w="28" w:type="dxa"/>
          <w:bottom w:w="28" w:type="dxa"/>
          <w:right w:w="28" w:type="dxa"/>
        </w:tblCellMar>
      </w:tblPr>
      <w:tblGrid>
        <w:gridCol w:w="320"/>
        <w:gridCol w:w="280"/>
        <w:gridCol w:w="281"/>
        <w:gridCol w:w="109"/>
        <w:gridCol w:w="109"/>
        <w:gridCol w:w="109"/>
        <w:gridCol w:w="2624"/>
        <w:gridCol w:w="2624"/>
        <w:gridCol w:w="3749"/>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q22024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as amended, under the Securities Exchange Act of 1934, as Adopted Pursuant to Section 302 of the Sarbanes-Oxley Act of 2002 (filed herewith).</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4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as amended, under the Securities Exchange Act of 1934, as Adopted Pursuant to Section 302 of the Sarbanes-Oxley Act of 2002 (filed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4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 (furnished herewith).</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4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 (furnished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document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2100"/>
                <wp:effectExtent l="0" t="0" r="0" b="0"/>
                <wp:wrapNone/>
                <wp:docPr id="49" name="Frame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88" w:before="0" w:after="0"/>
        <w:jc w:val="left"/>
        <w:rPr/>
      </w:pPr>
      <w:hyperlink w:anchor="i7d0ecab6a65048f78b938d5ad17fd5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 in the County of Somerset, State of New Jersey.</w:t>
      </w:r>
    </w:p>
    <w:tbl>
      <w:tblPr>
        <w:tblW w:w="514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br/>
              <w:t>(REGISTRANT)</w:t>
            </w:r>
          </w:p>
        </w:tc>
      </w:tr>
      <w:tr>
        <w:trPr/>
        <w:tc>
          <w:tcPr>
            <w:tcW w:w="1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 Ernest Toth, Jr.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of Aquestive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Daniel Barber,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 of Aquestive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 Ernest Toth,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6, 2024</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period-ended June 30, 2024, to which this Certification is attached as Exhibit 32.1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6, 2024 </w:t>
      </w:r>
    </w:p>
    <w:p>
      <w:pPr>
        <w:pStyle w:val="TextBody"/>
        <w:bidi w:val="0"/>
        <w:spacing w:before="0" w:after="0"/>
        <w:jc w:val="left"/>
        <w:rPr/>
      </w:pPr>
      <w:r>
        <w:rPr/>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period-ended June 30, 2024, to which this Certification is attached as Exhibit 32.2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6, 2024 </w:t>
      </w:r>
    </w:p>
    <w:p>
      <w:pPr>
        <w:pStyle w:val="TextBody"/>
        <w:bidi w:val="0"/>
        <w:spacing w:before="0" w:after="0"/>
        <w:jc w:val="left"/>
        <w:rPr/>
      </w:pPr>
      <w:r>
        <w:rPr/>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br/>
              <w:t>(Principal Financial Officer)</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33839</Words>
  <Characters>186172</Characters>
  <CharactersWithSpaces>218642</CharactersWithSpaces>
  <Paragraphs>2605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