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580" w:right="4060" w:hanging="561"/>
        <w:spacing w:after="0" w:line="242" w:lineRule="auto"/>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5" w:lineRule="exact"/>
        <w:rPr>
          <w:sz w:val="24"/>
          <w:szCs w:val="24"/>
          <w:color w:val="auto"/>
        </w:rPr>
      </w:pPr>
    </w:p>
    <w:p>
      <w:pPr>
        <w:ind w:left="580" w:right="4380" w:hanging="561"/>
        <w:spacing w:after="0" w:line="242" w:lineRule="auto"/>
        <w:tabs>
          <w:tab w:leader="none" w:pos="5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 to 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001-38599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Aquestive Therapeutics,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88"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680" w:type="dxa"/>
            <w:vAlign w:val="bottom"/>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8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30 Technology Drive, Warren, NJ 07059</w:t>
            </w:r>
          </w:p>
        </w:tc>
        <w:tc>
          <w:tcPr>
            <w:tcW w:w="3740" w:type="dxa"/>
            <w:vAlign w:val="bottom"/>
          </w:tcPr>
          <w:p>
            <w:pPr>
              <w:jc w:val="right"/>
              <w:ind w:right="1449"/>
              <w:spacing w:after="0"/>
              <w:rPr>
                <w:sz w:val="20"/>
                <w:szCs w:val="20"/>
                <w:color w:val="auto"/>
              </w:rPr>
            </w:pPr>
            <w:r>
              <w:rPr>
                <w:rFonts w:ascii="Times New Roman" w:cs="Times New Roman" w:eastAsia="Times New Roman" w:hAnsi="Times New Roman"/>
                <w:sz w:val="14"/>
                <w:szCs w:val="14"/>
                <w:b w:val="1"/>
                <w:bCs w:val="1"/>
                <w:color w:val="auto"/>
              </w:rPr>
              <w:t>82-3827296</w:t>
            </w:r>
          </w:p>
        </w:tc>
      </w:tr>
      <w:tr>
        <w:trPr>
          <w:trHeight w:val="144"/>
        </w:trPr>
        <w:tc>
          <w:tcPr>
            <w:tcW w:w="3680" w:type="dxa"/>
            <w:vAlign w:val="bottom"/>
          </w:tcPr>
          <w:p>
            <w:pPr>
              <w:jc w:val="center"/>
              <w:ind w:right="329"/>
              <w:spacing w:after="0" w:line="144"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320" w:type="dxa"/>
            <w:vAlign w:val="bottom"/>
            <w:gridSpan w:val="2"/>
          </w:tcPr>
          <w:p>
            <w:pPr>
              <w:jc w:val="right"/>
              <w:ind w:right="1049"/>
              <w:spacing w:after="0" w:line="144" w:lineRule="exact"/>
              <w:rPr>
                <w:sz w:val="20"/>
                <w:szCs w:val="20"/>
                <w:color w:val="auto"/>
              </w:rPr>
            </w:pPr>
            <w:r>
              <w:rPr>
                <w:rFonts w:ascii="Times New Roman" w:cs="Times New Roman" w:eastAsia="Times New Roman" w:hAnsi="Times New Roman"/>
                <w:sz w:val="14"/>
                <w:szCs w:val="14"/>
                <w:b w:val="1"/>
                <w:bCs w:val="1"/>
                <w:color w:val="auto"/>
              </w:rPr>
              <w:t>( 908) 941-1900</w:t>
            </w:r>
          </w:p>
        </w:tc>
        <w:tc>
          <w:tcPr>
            <w:tcW w:w="540" w:type="dxa"/>
            <w:vAlign w:val="bottom"/>
          </w:tcPr>
          <w:p>
            <w:pPr>
              <w:spacing w:after="0"/>
              <w:rPr>
                <w:sz w:val="12"/>
                <w:szCs w:val="12"/>
                <w:color w:val="auto"/>
              </w:rPr>
            </w:pPr>
          </w:p>
        </w:tc>
        <w:tc>
          <w:tcPr>
            <w:tcW w:w="3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184"/>
        </w:trPr>
        <w:tc>
          <w:tcPr>
            <w:tcW w:w="36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organization)</w:t>
            </w:r>
          </w:p>
        </w:tc>
        <w:tc>
          <w:tcPr>
            <w:tcW w:w="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431"/>
        </w:trPr>
        <w:tc>
          <w:tcPr>
            <w:tcW w:w="112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(Address, Zip Code and Telephone Number of Registrant’s Principal Executive Offices)</w:t>
            </w:r>
          </w:p>
        </w:tc>
      </w:tr>
      <w:tr>
        <w:trPr>
          <w:trHeight w:val="361"/>
        </w:trPr>
        <w:tc>
          <w:tcPr>
            <w:tcW w:w="3680" w:type="dxa"/>
            <w:vAlign w:val="bottom"/>
          </w:tcPr>
          <w:p>
            <w:pPr>
              <w:spacing w:after="0"/>
              <w:rPr>
                <w:sz w:val="24"/>
                <w:szCs w:val="24"/>
                <w:color w:val="auto"/>
              </w:rPr>
            </w:pPr>
          </w:p>
        </w:tc>
        <w:tc>
          <w:tcPr>
            <w:tcW w:w="386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40" w:type="dxa"/>
            <w:vAlign w:val="bottom"/>
          </w:tcPr>
          <w:p>
            <w:pPr>
              <w:spacing w:after="0"/>
              <w:rPr>
                <w:sz w:val="24"/>
                <w:szCs w:val="24"/>
                <w:color w:val="auto"/>
              </w:rPr>
            </w:pPr>
          </w:p>
        </w:tc>
      </w:tr>
      <w:tr>
        <w:trPr>
          <w:trHeight w:val="287"/>
        </w:trPr>
        <w:tc>
          <w:tcPr>
            <w:tcW w:w="3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AQST</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2"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5"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10" w:lineRule="exact"/>
        <w:rPr>
          <w:sz w:val="24"/>
          <w:szCs w:val="24"/>
          <w:color w:val="auto"/>
        </w:rPr>
      </w:pPr>
    </w:p>
    <w:tbl>
      <w:tblPr>
        <w:tblLayout w:type="fixed"/>
        <w:tblInd w:w="2100" w:type="dxa"/>
        <w:tblCellMar>
          <w:top w:w="0" w:type="dxa"/>
          <w:left w:w="0" w:type="dxa"/>
          <w:bottom w:w="0" w:type="dxa"/>
          <w:right w:w="0" w:type="dxa"/>
        </w:tblCellMar>
      </w:tblPr>
      <w:tr>
        <w:trPr>
          <w:trHeight w:val="180"/>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of $0.001 per share (the "Common Stock"), as of the close of business on November 1, 2024 was 91,178,193.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695960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95885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75565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03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0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gridSpan w:val="8"/>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gridSpan w:val="6"/>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6"/>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101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40"/>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9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w w:val="99"/>
              </w:rPr>
              <w:t>Financial Statements (Unaudited)</w:t>
            </w:r>
          </w:p>
        </w:tc>
        <w:tc>
          <w:tcPr>
            <w:tcW w:w="702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Condensed Balance Sheets as of September 30, 2024 and December 31, 2023</w:t>
            </w:r>
          </w:p>
        </w:tc>
        <w:tc>
          <w:tcPr>
            <w:tcW w:w="4540" w:type="dxa"/>
            <w:vAlign w:val="bottom"/>
            <w:gridSpan w:val="5"/>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9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4"/>
                <w:szCs w:val="14"/>
                <w:color w:val="auto"/>
              </w:rPr>
              <w:t>Condensed Statements of Operations and Comprehensive (Loss) Income for the three and nine months ended September 30, 2024 and 2023</w:t>
            </w:r>
          </w:p>
        </w:tc>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Condensed Statements of Changes in Stockholders’ Deficit for the three and nine months ended September 30,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1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Condensed Statements of Cash Flows for the nine months ended September 30, 2024 and 2023</w:t>
            </w:r>
          </w:p>
        </w:tc>
        <w:tc>
          <w:tcPr>
            <w:tcW w:w="1780" w:type="dxa"/>
            <w:vAlign w:val="bottom"/>
            <w:gridSpan w:val="2"/>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Notes to Unaudited Condensed Financial Statements</w:t>
            </w:r>
          </w:p>
        </w:tc>
        <w:tc>
          <w:tcPr>
            <w:tcW w:w="2380" w:type="dxa"/>
            <w:vAlign w:val="bottom"/>
            <w:tcBorders>
              <w:top w:val="single" w:sz="8" w:color="auto"/>
            </w:tcBorders>
            <w:gridSpan w:val="5"/>
          </w:tcPr>
          <w:p>
            <w:pPr>
              <w:spacing w:after="0"/>
              <w:rPr>
                <w:sz w:val="13"/>
                <w:szCs w:val="13"/>
                <w:color w:val="auto"/>
              </w:rPr>
            </w:pPr>
          </w:p>
        </w:tc>
        <w:tc>
          <w:tcPr>
            <w:tcW w:w="3560" w:type="dxa"/>
            <w:vAlign w:val="bottom"/>
            <w:gridSpan w:val="3"/>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338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80" w:type="dxa"/>
            <w:vAlign w:val="bottom"/>
            <w:tcBorders>
              <w:top w:val="single" w:sz="8" w:color="auto"/>
            </w:tcBorders>
            <w:gridSpan w:val="3"/>
          </w:tcPr>
          <w:p>
            <w:pPr>
              <w:spacing w:after="0"/>
              <w:rPr>
                <w:sz w:val="13"/>
                <w:szCs w:val="13"/>
                <w:color w:val="auto"/>
              </w:rPr>
            </w:pPr>
          </w:p>
        </w:tc>
        <w:tc>
          <w:tcPr>
            <w:tcW w:w="3860" w:type="dxa"/>
            <w:vAlign w:val="bottom"/>
            <w:gridSpan w:val="4"/>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1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8"/>
              </w:rPr>
              <w:t>Legal Proceedings</w:t>
            </w:r>
          </w:p>
        </w:tc>
        <w:tc>
          <w:tcPr>
            <w:tcW w:w="78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w w:val="99"/>
              </w:rPr>
              <w:t>Defaults Upon Senior Securities</w:t>
            </w:r>
          </w:p>
        </w:tc>
        <w:tc>
          <w:tcPr>
            <w:tcW w:w="1580" w:type="dxa"/>
            <w:vAlign w:val="bottom"/>
            <w:tcBorders>
              <w:top w:val="single" w:sz="8" w:color="auto"/>
            </w:tcBorders>
            <w:gridSpan w:val="4"/>
          </w:tcPr>
          <w:p>
            <w:pPr>
              <w:spacing w:after="0"/>
              <w:rPr>
                <w:sz w:val="13"/>
                <w:szCs w:val="13"/>
                <w:color w:val="auto"/>
              </w:rPr>
            </w:pPr>
          </w:p>
        </w:tc>
        <w:tc>
          <w:tcPr>
            <w:tcW w:w="5520" w:type="dxa"/>
            <w:vAlign w:val="bottom"/>
            <w:gridSpan w:val="6"/>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89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7540" w:type="dxa"/>
            <w:vAlign w:val="bottom"/>
            <w:gridSpan w:val="11"/>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Exhibits</w:t>
            </w:r>
          </w:p>
        </w:tc>
        <w:tc>
          <w:tcPr>
            <w:tcW w:w="7900" w:type="dxa"/>
            <w:vAlign w:val="bottom"/>
            <w:gridSpan w:val="13"/>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3"/>
                <w:szCs w:val="13"/>
                <w:color w:val="auto"/>
              </w:rPr>
            </w:pPr>
          </w:p>
        </w:tc>
      </w:tr>
      <w:tr>
        <w:trPr>
          <w:trHeight w:val="341"/>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SIGNATURES</w:t>
            </w: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20" w:type="dxa"/>
            <w:vAlign w:val="bottom"/>
          </w:tcPr>
          <w:p>
            <w:pPr>
              <w:spacing w:after="0"/>
              <w:rPr>
                <w:sz w:val="24"/>
                <w:szCs w:val="24"/>
                <w:color w:val="auto"/>
              </w:rPr>
            </w:pPr>
          </w:p>
        </w:tc>
      </w:tr>
      <w:tr>
        <w:trPr>
          <w:trHeight w:val="871"/>
        </w:trPr>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12"/>
          </w:tcPr>
          <w:p>
            <w:pPr>
              <w:jc w:val="center"/>
              <w:ind w:left="3589"/>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GLOSSARY OF TERMS, ABBREVIATIONS AND ACRONYMS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terms, abbreviations and acronyms are used to identify frequently used terms and phrases that may be used in this report (dollar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TERM</w:t>
            </w:r>
          </w:p>
        </w:tc>
        <w:tc>
          <w:tcPr>
            <w:tcW w:w="8900" w:type="dxa"/>
            <w:vAlign w:val="bottom"/>
            <w:gridSpan w:val="2"/>
          </w:tcPr>
          <w:p>
            <w:pPr>
              <w:ind w:left="3980"/>
              <w:spacing w:after="0"/>
              <w:rPr>
                <w:sz w:val="20"/>
                <w:szCs w:val="20"/>
                <w:color w:val="auto"/>
              </w:rPr>
            </w:pPr>
            <w:r>
              <w:rPr>
                <w:rFonts w:ascii="Times New Roman" w:cs="Times New Roman" w:eastAsia="Times New Roman" w:hAnsi="Times New Roman"/>
                <w:sz w:val="14"/>
                <w:szCs w:val="14"/>
                <w:color w:val="auto"/>
              </w:rPr>
              <w:t>DEFINITION</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12.5% Notes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12.5% Senior Secured Notes due 2025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13.5% Notes</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13.5% Senior Secured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ACAAI</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American College of Allergy Asthma and Immunology</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848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ABL facility</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Asset-based borrowing facility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ADHD</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Attention deficit hyperactivity disorder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Adrenaverse™</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Epinephrine prodrug platform currently comprised of Anaphylm™ and AQST-108</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Amyotrophic lateral sclerosis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ANVISA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Brazilian Health Regulatory Agency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API</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Active Pharmaceutical Ingredients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Aquestive</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Aquestive Therapeutics, Inc.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48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AQST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NASDAQ ticker symbol for Aquestive Therapeutics, Inc.</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ASC</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Assertio</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Assertio Holdings,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Assertio Agreement</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License Agreement between Aquestive and Otter Pharmaceuticals, LLC, a subsidiary of Assertio Holdings,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ASU</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Accounting Standards Updates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ATM facility</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At-The-Market facility for the purchase of AQST Common Stock, then in effect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 Indenture</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Indenture for the 12.5%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CMC</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Chemistry, Manufacturing, Controls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CNS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Central Nervous System</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Common Stock, par value $0.001 per share, of the Company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Warrants issued with private placement of up to $100,000 aggregate principal of 12.5% Notes originally due 2025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Aquestive Therapeutics,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Contract research organization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European Medicines Agency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ESPP</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480" w:type="dxa"/>
            <w:vAlign w:val="bottom"/>
            <w:shd w:val="clear" w:color="auto" w:fill="CCEEFF"/>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EU</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European Union</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Exchange Act of 1934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Existing Warrants</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Common Stock Purchase Warrants with the holder of the remaining 5,000,000 warrants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FASB</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FDA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 Food and Drug Administration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Amendment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First amendment to the Sunovion License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Fortovia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Fortovia Therapeutics Inc. (previously Midatech Pharma PLC)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Haisco</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Haisco Pharmaceutical Group Co., Ltd.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48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Haisco Agreement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License, Development and Supply Agreement with Haisco, a Chinese limited company listed on the Shenzhen Stock Exchange</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8480" w:type="dxa"/>
            <w:vAlign w:val="bottom"/>
            <w:shd w:val="clear" w:color="auto" w:fill="CCEEFF"/>
          </w:tcPr>
          <w:p>
            <w:pPr>
              <w:spacing w:after="0"/>
              <w:rPr>
                <w:sz w:val="8"/>
                <w:szCs w:val="8"/>
                <w:color w:val="auto"/>
              </w:rPr>
            </w:pPr>
          </w:p>
        </w:tc>
        <w:tc>
          <w:tcPr>
            <w:tcW w:w="4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Hypera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Hypera Pharma</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Indenture Agreement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Agreement governing the 13.5% Senior Secured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Indivior</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Indivior Inc. (formerly, Reckitt Benckiser Pharmaceuticals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Indivior Amendment 11</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Amendment No. 11 to the Indivior License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Indivior License Agreement</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Commercial Exploitation Agreement with Reckitt Benckiser Pharmaceuticals, Inc. (with subsequent amendments collectively)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Lincoln Park</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Lincoln Park Capital Fund, LLC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5"/>
        </w:trPr>
        <w:tc>
          <w:tcPr>
            <w:tcW w:w="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4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Lincoln Park Purchase Agreement</w:t>
            </w: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Purchase Agreement with Lincoln Park Capital Fund, LLC</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Marathon</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Marathon Asset Management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Monetization Agreement</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and Sale Agreement between Aquestive and Sunovion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MSSP</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Managed Security Services Provider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MTPA or Mitsubishi</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Mitsubishi Tanabe Pharma America, Inc. (formerly, Mitsubishi Tanabe Pharma Holdings America,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 Meaningful, used in percentage changes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NASDAQ Stock Market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100" w:type="dxa"/>
            <w:vAlign w:val="bottom"/>
            <w:gridSpan w:val="2"/>
          </w:tcPr>
          <w:p>
            <w:pPr>
              <w:spacing w:after="0"/>
              <w:rPr>
                <w:sz w:val="7"/>
                <w:szCs w:val="7"/>
                <w:color w:val="auto"/>
              </w:rPr>
            </w:pPr>
          </w:p>
        </w:tc>
        <w:tc>
          <w:tcPr>
            <w:tcW w:w="832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NDA</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Drug Application</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Warrants</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to purchase 2,750,000 shares of Common Stock</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$45,000 aggregate principal amount of 13.5% Notes due November 1, 2028.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100" w:type="dxa"/>
            <w:vAlign w:val="bottom"/>
            <w:gridSpan w:val="2"/>
            <w:shd w:val="clear" w:color="auto" w:fill="CCEEFF"/>
          </w:tcPr>
          <w:p>
            <w:pPr>
              <w:spacing w:after="0"/>
              <w:rPr>
                <w:sz w:val="7"/>
                <w:szCs w:val="7"/>
                <w:color w:val="auto"/>
              </w:rPr>
            </w:pPr>
          </w:p>
        </w:tc>
        <w:tc>
          <w:tcPr>
            <w:tcW w:w="8320" w:type="dxa"/>
            <w:vAlign w:val="bottom"/>
            <w:shd w:val="clear" w:color="auto" w:fill="CCEEFF"/>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PD</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Pharmacodynamics</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Pharmanovia</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Atnahs Pharma UK Limited, a company registered in England and Wales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Pharmanovia Agreement</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License and Supply Agreement with Atnahs Pharma UK Limited,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Pharmanovia Amendment</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Amended License and Supply Agreement with Atnahs Pharma UK Limited as of March 27,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PK</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Pharmacokinetic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PTO</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United States Patent and Trademark Office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PDUFA</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Prescription Drug User Fee Act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Pre-IND</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Pre-Investigational New Drug</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Royalty Obligations</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Liability related to the Royalty Rights Agreements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Royalty Rights Agreements</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Royalty Rights Agreements, component of 13.5% Senior Secured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 Unit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and Exchange Commission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Purchase Agreements</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Purchase Agreements with certain purchasers entered into on June 6, 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Separation Agreement</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Separation Agreement, including a Consulting Agreement with Keith J. Kendall</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Sunovion</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Sunovion Pharmaceuticals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Sunovion License Agreement</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KYNMOBI Commercialization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210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Territory</w:t>
            </w:r>
          </w:p>
        </w:tc>
        <w:tc>
          <w:tcPr>
            <w:tcW w:w="8320" w:type="dxa"/>
            <w:vAlign w:val="bottom"/>
          </w:tcPr>
          <w:p>
            <w:pPr>
              <w:ind w:left="160"/>
              <w:spacing w:after="0" w:line="138" w:lineRule="exact"/>
              <w:rPr>
                <w:sz w:val="20"/>
                <w:szCs w:val="20"/>
                <w:color w:val="auto"/>
              </w:rPr>
            </w:pPr>
            <w:r>
              <w:rPr>
                <w:rFonts w:ascii="Times New Roman" w:cs="Times New Roman" w:eastAsia="Times New Roman" w:hAnsi="Times New Roman"/>
                <w:sz w:val="14"/>
                <w:szCs w:val="14"/>
                <w:color w:val="auto"/>
              </w:rPr>
              <w:t>Certain countries of the European Union, the United Kingdom, Switzerland, Norway and the Middle East and North Africa under the</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Pharmanovia Agreement</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TEVA</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Teva Pharmaceuticals USA, Inc.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TGA</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Australian Government Department of Health’s Therapeutics Goods Administration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Underwritten Public Offering</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raise of gross proceeds of $77,519, including partial exercise of the underwriters' option for $2,519</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100" w:type="dxa"/>
            <w:vAlign w:val="bottom"/>
            <w:gridSpan w:val="2"/>
            <w:shd w:val="clear" w:color="auto" w:fill="CCEEFF"/>
          </w:tcPr>
          <w:p>
            <w:pPr>
              <w:spacing w:after="0"/>
              <w:rPr>
                <w:sz w:val="7"/>
                <w:szCs w:val="7"/>
                <w:color w:val="auto"/>
              </w:rPr>
            </w:pPr>
          </w:p>
        </w:tc>
        <w:tc>
          <w:tcPr>
            <w:tcW w:w="8320" w:type="dxa"/>
            <w:vAlign w:val="bottom"/>
            <w:shd w:val="clear" w:color="auto" w:fill="CCEEFF"/>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Zambon</w:t>
            </w:r>
          </w:p>
        </w:tc>
        <w:tc>
          <w:tcPr>
            <w:tcW w:w="8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Zambon S.p.A.</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Zevra</w:t>
            </w: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Zevra Therapeutics, Inc. (formerly KemPharm,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5"/>
        </w:trPr>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16"/>
        </w:trPr>
        <w:tc>
          <w:tcPr>
            <w:tcW w:w="8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1"/>
        </w:trPr>
        <w:tc>
          <w:tcPr>
            <w:tcW w:w="8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  FINANCIAL STATEMENTS </w:t>
            </w:r>
            <w:r>
              <w:rPr>
                <w:rFonts w:ascii="Times New Roman" w:cs="Times New Roman" w:eastAsia="Times New Roman" w:hAnsi="Times New Roman"/>
                <w:sz w:val="14"/>
                <w:szCs w:val="14"/>
                <w:b w:val="1"/>
                <w:bCs w:val="1"/>
                <w:i w:val="1"/>
                <w:iCs w:val="1"/>
                <w:color w:val="auto"/>
              </w:rPr>
              <w:t>(Unaudited)</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120" w:type="dxa"/>
            <w:vAlign w:val="bottom"/>
          </w:tcPr>
          <w:p>
            <w:pPr>
              <w:jc w:val="center"/>
              <w:ind w:left="2089"/>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120" w:type="dxa"/>
            <w:vAlign w:val="bottom"/>
          </w:tcPr>
          <w:p>
            <w:pPr>
              <w:jc w:val="center"/>
              <w:ind w:left="2089"/>
              <w:spacing w:after="0"/>
              <w:rPr>
                <w:sz w:val="20"/>
                <w:szCs w:val="20"/>
                <w:color w:val="auto"/>
              </w:rPr>
            </w:pPr>
            <w:r>
              <w:rPr>
                <w:rFonts w:ascii="Times New Roman" w:cs="Times New Roman" w:eastAsia="Times New Roman" w:hAnsi="Times New Roman"/>
                <w:sz w:val="14"/>
                <w:szCs w:val="14"/>
                <w:color w:val="auto"/>
              </w:rPr>
              <w:t>Condensed Balance Sheets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120" w:type="dxa"/>
            <w:vAlign w:val="bottom"/>
          </w:tcPr>
          <w:p>
            <w:pPr>
              <w:jc w:val="center"/>
              <w:ind w:left="208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120" w:type="dxa"/>
            <w:vAlign w:val="bottom"/>
          </w:tcPr>
          <w:p>
            <w:pPr>
              <w:jc w:val="center"/>
              <w:ind w:left="2089"/>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right"/>
              <w:ind w:right="289"/>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40" w:type="dxa"/>
            <w:vAlign w:val="bottom"/>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40" w:type="dxa"/>
            <w:vAlign w:val="bottom"/>
          </w:tcPr>
          <w:p>
            <w:pPr>
              <w:spacing w:after="0"/>
              <w:rPr>
                <w:sz w:val="15"/>
                <w:szCs w:val="15"/>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23,872</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8,471</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w:t>
            </w: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r>
      <w:tr>
        <w:trPr>
          <w:trHeight w:val="171"/>
        </w:trPr>
        <w:tc>
          <w:tcPr>
            <w:tcW w:w="40" w:type="dxa"/>
            <w:vAlign w:val="bottom"/>
          </w:tcPr>
          <w:p>
            <w:pPr>
              <w:spacing w:after="0"/>
              <w:rPr>
                <w:sz w:val="14"/>
                <w:szCs w:val="14"/>
                <w:color w:val="auto"/>
              </w:rPr>
            </w:pPr>
          </w:p>
        </w:tc>
        <w:tc>
          <w:tcPr>
            <w:tcW w:w="8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40,966</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 net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5,557</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r>
      <w:tr>
        <w:trPr>
          <w:trHeight w:val="171"/>
        </w:trPr>
        <w:tc>
          <w:tcPr>
            <w:tcW w:w="40" w:type="dxa"/>
            <w:vAlign w:val="bottom"/>
          </w:tcPr>
          <w:p>
            <w:pPr>
              <w:spacing w:after="0"/>
              <w:rPr>
                <w:sz w:val="14"/>
                <w:szCs w:val="14"/>
                <w:color w:val="auto"/>
              </w:rPr>
            </w:pPr>
          </w:p>
        </w:tc>
        <w:tc>
          <w:tcPr>
            <w:tcW w:w="8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109,958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57,418</w:t>
            </w:r>
          </w:p>
        </w:tc>
      </w:tr>
      <w:tr>
        <w:trPr>
          <w:trHeight w:val="20"/>
        </w:trPr>
        <w:tc>
          <w:tcPr>
            <w:tcW w:w="40" w:type="dxa"/>
            <w:vAlign w:val="bottom"/>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7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8,926</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Liability related to the sale of future revenue, current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payable, current</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40" w:type="dxa"/>
            <w:vAlign w:val="bottom"/>
          </w:tcPr>
          <w:p>
            <w:pPr>
              <w:spacing w:after="0"/>
              <w:rPr>
                <w:sz w:val="14"/>
                <w:szCs w:val="14"/>
                <w:color w:val="auto"/>
              </w:rPr>
            </w:pPr>
          </w:p>
        </w:tc>
        <w:tc>
          <w:tcPr>
            <w:tcW w:w="8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18,308</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payable, net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27,508</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Royalty obligations, net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14,761</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Liability related to the sale of future revenue, net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63,568</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32,345</w:t>
            </w: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71"/>
        </w:trPr>
        <w:tc>
          <w:tcPr>
            <w:tcW w:w="40" w:type="dxa"/>
            <w:vAlign w:val="bottom"/>
          </w:tcPr>
          <w:p>
            <w:pPr>
              <w:spacing w:after="0"/>
              <w:rPr>
                <w:sz w:val="14"/>
                <w:szCs w:val="14"/>
                <w:color w:val="auto"/>
              </w:rPr>
            </w:pPr>
          </w:p>
        </w:tc>
        <w:tc>
          <w:tcPr>
            <w:tcW w:w="8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155,378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163,905</w:t>
            </w:r>
          </w:p>
        </w:tc>
      </w:tr>
      <w:tr>
        <w:trPr>
          <w:trHeight w:val="160"/>
        </w:trPr>
        <w:tc>
          <w:tcPr>
            <w:tcW w:w="40" w:type="dxa"/>
            <w:vAlign w:val="bottom"/>
          </w:tcPr>
          <w:p>
            <w:pPr>
              <w:spacing w:after="0"/>
              <w:rPr>
                <w:sz w:val="13"/>
                <w:szCs w:val="13"/>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Contingencies (Note 19)</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27"/>
        </w:trPr>
        <w:tc>
          <w:tcPr>
            <w:tcW w:w="40" w:type="dxa"/>
            <w:vAlign w:val="bottom"/>
          </w:tcPr>
          <w:p>
            <w:pPr>
              <w:spacing w:after="0"/>
              <w:rPr>
                <w:sz w:val="11"/>
                <w:szCs w:val="11"/>
                <w:color w:val="auto"/>
              </w:rPr>
            </w:pPr>
          </w:p>
        </w:tc>
        <w:tc>
          <w:tcPr>
            <w:tcW w:w="8080" w:type="dxa"/>
            <w:vAlign w:val="bottom"/>
            <w:gridSpan w:val="2"/>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80"/>
        </w:trPr>
        <w:tc>
          <w:tcPr>
            <w:tcW w:w="4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38"/>
        </w:trPr>
        <w:tc>
          <w:tcPr>
            <w:tcW w:w="40" w:type="dxa"/>
            <w:vAlign w:val="bottom"/>
          </w:tcPr>
          <w:p>
            <w:pPr>
              <w:spacing w:after="0"/>
              <w:rPr>
                <w:sz w:val="11"/>
                <w:szCs w:val="11"/>
                <w:color w:val="auto"/>
              </w:rPr>
            </w:pPr>
          </w:p>
        </w:tc>
        <w:tc>
          <w:tcPr>
            <w:tcW w:w="80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$0.001 par value. Authorized 250,000,000 shares; 91,178,193 and 68,533,085 shares issued and outstanding at</w:t>
            </w: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91"/>
        </w:trPr>
        <w:tc>
          <w:tcPr>
            <w:tcW w:w="40" w:type="dxa"/>
            <w:vAlign w:val="bottom"/>
          </w:tcPr>
          <w:p>
            <w:pPr>
              <w:spacing w:after="0"/>
              <w:rPr>
                <w:sz w:val="16"/>
                <w:szCs w:val="16"/>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40" w:type="dxa"/>
            <w:vAlign w:val="bottom"/>
          </w:tcPr>
          <w:p>
            <w:pPr>
              <w:spacing w:after="0"/>
              <w:rPr>
                <w:sz w:val="15"/>
                <w:szCs w:val="15"/>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212,521</w:t>
            </w:r>
          </w:p>
        </w:tc>
      </w:tr>
      <w:tr>
        <w:trPr>
          <w:trHeight w:val="180"/>
        </w:trPr>
        <w:tc>
          <w:tcPr>
            <w:tcW w:w="40" w:type="dxa"/>
            <w:vAlign w:val="bottom"/>
          </w:tcPr>
          <w:p>
            <w:pPr>
              <w:spacing w:after="0"/>
              <w:rPr>
                <w:sz w:val="15"/>
                <w:szCs w:val="15"/>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(346,159)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(319,077)</w:t>
            </w:r>
          </w:p>
        </w:tc>
      </w:tr>
      <w:tr>
        <w:trPr>
          <w:trHeight w:val="171"/>
        </w:trPr>
        <w:tc>
          <w:tcPr>
            <w:tcW w:w="40" w:type="dxa"/>
            <w:vAlign w:val="bottom"/>
          </w:tcPr>
          <w:p>
            <w:pPr>
              <w:spacing w:after="0"/>
              <w:rPr>
                <w:sz w:val="14"/>
                <w:szCs w:val="14"/>
                <w:color w:val="auto"/>
              </w:rPr>
            </w:pPr>
          </w:p>
        </w:tc>
        <w:tc>
          <w:tcPr>
            <w:tcW w:w="8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(45,420)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(106,487)</w:t>
            </w:r>
          </w:p>
        </w:tc>
      </w:tr>
      <w:tr>
        <w:trPr>
          <w:trHeight w:val="196"/>
        </w:trPr>
        <w:tc>
          <w:tcPr>
            <w:tcW w:w="40" w:type="dxa"/>
            <w:vAlign w:val="bottom"/>
          </w:tcPr>
          <w:p>
            <w:pPr>
              <w:spacing w:after="0"/>
              <w:rPr>
                <w:sz w:val="16"/>
                <w:szCs w:val="16"/>
                <w:color w:val="auto"/>
              </w:rPr>
            </w:pPr>
          </w:p>
        </w:tc>
        <w:tc>
          <w:tcPr>
            <w:tcW w:w="8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57,418</w:t>
            </w:r>
          </w:p>
        </w:tc>
      </w:tr>
      <w:tr>
        <w:trPr>
          <w:trHeight w:val="20"/>
        </w:trPr>
        <w:tc>
          <w:tcPr>
            <w:tcW w:w="4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3"/>
                <w:szCs w:val="13"/>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37,377</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 and supply</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16,152</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48,568</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income/(expenses):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related to royalty obligations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related to the sale of future revenue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and other income, net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16,156</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before income taxes</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(27,082)</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(benefit) expense</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(27,082)</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(27,082)</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earnings per share attributable to common stockholders: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(in dollars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(in dollars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 shares)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91,082,081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64,678,761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85,224,263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59,252,768</w:t>
            </w:r>
          </w:p>
        </w:tc>
        <w:tc>
          <w:tcPr>
            <w:tcW w:w="0" w:type="dxa"/>
            <w:vAlign w:val="bottom"/>
          </w:tcPr>
          <w:p>
            <w:pPr>
              <w:spacing w:after="0"/>
              <w:rPr>
                <w:sz w:val="1"/>
                <w:szCs w:val="1"/>
                <w:color w:val="auto"/>
              </w:rPr>
            </w:pP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 shares)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91,082,081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64,678,761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85,224,263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61,513,736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Three Months Ended March 31, 2024, June 30, 2024 and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80" w:type="dxa"/>
            <w:vAlign w:val="bottom"/>
            <w:gridSpan w:val="4"/>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22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1"/>
                <w:szCs w:val="11"/>
                <w:color w:val="auto"/>
              </w:rPr>
            </w:pPr>
          </w:p>
        </w:tc>
        <w:tc>
          <w:tcPr>
            <w:tcW w:w="13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1"/>
                <w:szCs w:val="11"/>
                <w:color w:val="auto"/>
              </w:rPr>
            </w:pPr>
          </w:p>
        </w:tc>
        <w:tc>
          <w:tcPr>
            <w:tcW w:w="1300" w:type="dxa"/>
            <w:vAlign w:val="bottom"/>
          </w:tcPr>
          <w:p>
            <w:pPr>
              <w:jc w:val="center"/>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3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68,533,085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(319,077)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offering-ATM</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4,557,220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offering-ATM</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16,666,667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exercised,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90,478,731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295,514</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(331,905)</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(36,301)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offering-ATM</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91,059,760</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299,080</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(334,650)</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(35,479)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91,178,193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Three Months Ended March 31, 2023, June 30, 2023 and September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80" w:type="dxa"/>
            <w:vAlign w:val="bottom"/>
            <w:gridSpan w:val="4"/>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22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1"/>
                <w:szCs w:val="11"/>
                <w:color w:val="auto"/>
              </w:rPr>
            </w:pPr>
          </w:p>
        </w:tc>
        <w:tc>
          <w:tcPr>
            <w:tcW w:w="13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1"/>
                <w:szCs w:val="11"/>
                <w:color w:val="auto"/>
              </w:rPr>
            </w:pPr>
          </w:p>
        </w:tc>
        <w:tc>
          <w:tcPr>
            <w:tcW w:w="1300" w:type="dxa"/>
            <w:vAlign w:val="bottom"/>
          </w:tcPr>
          <w:p>
            <w:pPr>
              <w:jc w:val="center"/>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3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54,827,734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192,598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(311,207)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(118,554)</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8,068</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55,922,361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193,848</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(303,139)</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(109,235)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upon warrant exercises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3,689,452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1,981,937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61,615,959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202,218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(308,931)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upon warrant exercises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66,740,765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207,972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(310,966)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2"/>
        </w:trPr>
        <w:tc>
          <w:tcPr>
            <w:tcW w:w="1000" w:type="dxa"/>
            <w:vAlign w:val="bottom"/>
            <w:tcBorders>
              <w:top w:val="single" w:sz="8" w:color="0000FF"/>
            </w:tcBorders>
          </w:tcPr>
          <w:p>
            <w:pPr>
              <w:spacing w:after="0"/>
              <w:rPr>
                <w:sz w:val="24"/>
                <w:szCs w:val="24"/>
                <w:color w:val="auto"/>
              </w:rPr>
            </w:pPr>
          </w:p>
        </w:tc>
        <w:tc>
          <w:tcPr>
            <w:tcW w:w="7520" w:type="dxa"/>
            <w:vAlign w:val="bottom"/>
          </w:tcPr>
          <w:p>
            <w:pPr>
              <w:jc w:val="center"/>
              <w:ind w:left="1689"/>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520" w:type="dxa"/>
            <w:vAlign w:val="bottom"/>
          </w:tcPr>
          <w:p>
            <w:pPr>
              <w:jc w:val="center"/>
              <w:ind w:left="1709"/>
              <w:spacing w:after="0"/>
              <w:rPr>
                <w:sz w:val="20"/>
                <w:szCs w:val="20"/>
                <w:color w:val="auto"/>
              </w:rPr>
            </w:pPr>
            <w:r>
              <w:rPr>
                <w:rFonts w:ascii="Times New Roman" w:cs="Times New Roman" w:eastAsia="Times New Roman" w:hAnsi="Times New Roman"/>
                <w:sz w:val="14"/>
                <w:szCs w:val="14"/>
                <w:color w:val="auto"/>
              </w:rPr>
              <w:t>Condensed Statements of Cash Flows</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520" w:type="dxa"/>
            <w:vAlign w:val="bottom"/>
          </w:tcPr>
          <w:p>
            <w:pPr>
              <w:jc w:val="center"/>
              <w:ind w:left="1709"/>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7520" w:type="dxa"/>
            <w:vAlign w:val="bottom"/>
          </w:tcPr>
          <w:p>
            <w:pPr>
              <w:jc w:val="center"/>
              <w:ind w:left="1689"/>
              <w:spacing w:after="0"/>
              <w:rPr>
                <w:sz w:val="20"/>
                <w:szCs w:val="20"/>
                <w:color w:val="auto"/>
              </w:rPr>
            </w:pPr>
            <w:r>
              <w:rPr>
                <w:rFonts w:ascii="Times New Roman" w:cs="Times New Roman" w:eastAsia="Times New Roman" w:hAnsi="Times New Roman"/>
                <w:sz w:val="14"/>
                <w:szCs w:val="14"/>
                <w:color w:val="auto"/>
              </w:rPr>
              <w:t>(Unaudited)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5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income</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(27,082)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for operating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on contract termination</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180"/>
        </w:trPr>
        <w:tc>
          <w:tcPr>
            <w:tcW w:w="8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(12,582)</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0" w:type="dxa"/>
            <w:vAlign w:val="bottom"/>
          </w:tcPr>
          <w:p>
            <w:pPr>
              <w:spacing w:after="0"/>
              <w:rPr>
                <w:sz w:val="1"/>
                <w:szCs w:val="1"/>
                <w:color w:val="auto"/>
              </w:rPr>
            </w:pPr>
          </w:p>
        </w:tc>
      </w:tr>
      <w:tr>
        <w:trPr>
          <w:trHeight w:val="171"/>
        </w:trPr>
        <w:tc>
          <w:tcPr>
            <w:tcW w:w="8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used for operating activities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(29,270)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8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71"/>
        </w:trPr>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common stock issued under public equity offering, net - ATM</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5,274</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common stock issued under public equity offering,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issuance and exercise of warrants</w:t>
            </w:r>
          </w:p>
        </w:tc>
        <w:tc>
          <w:tcPr>
            <w:tcW w:w="8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shares issued under employee stock purchase plan</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debt principal including lease liabilities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(12,548)</w:t>
            </w:r>
          </w:p>
        </w:tc>
        <w:tc>
          <w:tcPr>
            <w:tcW w:w="0" w:type="dxa"/>
            <w:vAlign w:val="bottom"/>
          </w:tcPr>
          <w:p>
            <w:pPr>
              <w:spacing w:after="0"/>
              <w:rPr>
                <w:sz w:val="1"/>
                <w:szCs w:val="1"/>
                <w:color w:val="auto"/>
              </w:rPr>
            </w:pPr>
          </w:p>
        </w:tc>
      </w:tr>
      <w:tr>
        <w:trPr>
          <w:trHeight w:val="180"/>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Premium paid to retire debt</w:t>
            </w:r>
          </w:p>
        </w:tc>
        <w:tc>
          <w:tcPr>
            <w:tcW w:w="8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taxes on share-based compensation</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83,435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18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23,872</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27,273</w:t>
            </w:r>
          </w:p>
        </w:tc>
        <w:tc>
          <w:tcPr>
            <w:tcW w:w="0" w:type="dxa"/>
            <w:vAlign w:val="bottom"/>
          </w:tcPr>
          <w:p>
            <w:pPr>
              <w:spacing w:after="0"/>
              <w:rPr>
                <w:sz w:val="1"/>
                <w:szCs w:val="1"/>
                <w:color w:val="auto"/>
              </w:rPr>
            </w:pPr>
          </w:p>
        </w:tc>
      </w:tr>
      <w:tr>
        <w:trPr>
          <w:trHeight w:val="171"/>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77,893</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24,917</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00" w:type="dxa"/>
            <w:vAlign w:val="bottom"/>
          </w:tcPr>
          <w:p>
            <w:pPr>
              <w:spacing w:after="0"/>
              <w:rPr>
                <w:sz w:val="16"/>
                <w:szCs w:val="16"/>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condensed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in thousands, except share and per share information)</w:t>
      </w:r>
    </w:p>
    <w:p>
      <w:pPr>
        <w:spacing w:after="0" w:line="24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1.</w:t>
        <w:tab/>
        <w:t>Company Overview and 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Company Overview</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has a proprietary commercial product, Libervant® (diazepam) Buccal Film for the acute treatment of intermittent, stereotypic episodes of frequent seizure activity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seizure clusters, acute repetitive seizures) that are distinct from a patient’s usual seizure pattern in patients with epilepsy between two and five years of age, which was launched in April 2024. The Company is advancing a product pipeline for the treatment of severe allergic reactions, including anaphylaxis, under the trade name "Anaphylm™", and its Adrenaverse epinephrine prodrug pipeline platform.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 Equity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Offering of Common Stock</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established its first ATM facility in September 2019, and since inception to September 30, 2024, the Company has sold 19,857,518 shares of Common Stock which has generated net cash proceeds of approximately $60,558, net of commissions and other transactions costs of $3,085. On April 3, 2024, the Company filed a new shelf registration statement on Form S-3 to register the offer and sale of up to $250,000 worth of shares of Common Stock ("Registration Statement No. 333-278498" or the "2024 Registration Statement"), that was declared effective by the SEC on April 23, 2024. Included as part of the 2024 Registration Statement was a $100,000 ATM facility pursuant to the Amended Equity Distribution Agreement with Piper Sandler &amp; Co. (successor to Piper Jaffray &amp; Co.).</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the three months ended September 30, 2024, there were no shares of Common Stock sold under the ATM facility. For the nine months ended September 30, 2024, the Company sold 4,557,220 shares of Common Stock under the ATM facility which provided net proceeds of approximately $11,855 after deducting commissions and other transaction costs of $530. For the nine months ended September 30, 2023, the Company sold 3,184,740 shares under the ATM facility which provided net proceeds of approximately $5,274 after deducting commissions and other transaction costs of $392.</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April 12, 2022, the Company entered into the Lincoln Park Purchase Agreement,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1,600,000 shares, in addition to 236,491 commitment shares, which provided proceeds of approximately $1,987 in connection with the Lincoln Park Purchase Agreement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Company did not sell shares in connection with the Lincoln Park Purchase Agreement in 2023 or for the nine months ended September 30, 2024. The Company has no current intent to use the Lincoln Park facility.</w:t>
      </w:r>
    </w:p>
    <w:p>
      <w:pPr>
        <w:spacing w:after="0" w:line="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March 22, 2024, the Company completed the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Underwritten Public Offering, including the exercise of underwriters' option were $72,868, after deducting underwriting discounts of $4,651. In addition to the underwriting discounts related to this offering, the Company incurred professional fees and other costs totaling $894 as of September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Basis of Presentation</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accompanying interim unaudited condensed financial statements were prepared in conformity with U.S. GAAP and with Article 10 of Regulation S-X for interim financial reporting. In compliance with those rules, certain information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footnote disclosures normally included in annual financial statements prepared in accordance with U.S. GAAP have been condensed or omitted. These condensed financial statements should be read in conjunction with the Company’s audited consolidated financial statements and related notes for the fiscal year ended December 31, 2023 included in the Company’s Annual Report on Form 10-K filed with the SEC on March 5, 2024 (the “2023 Annual Report on Form 10-K”). As included herein, the Condensed Balance Sheet as of December 31, 2023 is derived from the audited consolidated financial statements as of that date. In the opinion of management, all adjustments (consisting only of normal recurring adjustments) considered necessary for a fair presentation of the results of interim periods have been included. The accompanying condensed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reference in the Notes to applicable guidance refers to the authoritative U.S. GAAP as found in the ASC and ASU of FASB.</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March 31, 2024, the Company dissolved its subsidiaries and no longer prepares its financial statements on a consolidated basis. The dissolution of the subsidiaries did not have a material impact on the Company’s unaudited condensed financial statements as of September 30, 2024 or the audited consolidated financial statements as of December 31, 2023.</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2.</w:t>
        <w:tab/>
        <w:t>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is no longer an “emerging growth company,” but remains a “smaller reporting company”. The Company complies with new or revised accounting standards by the relevant dates on which adoption of such standards is required for smaller reporting companies.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 Adopted as of September 30, 2024:</w:t>
      </w:r>
    </w:p>
    <w:p>
      <w:pPr>
        <w:spacing w:after="0" w:line="9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 August 2020, the FASB issued ASU 2020-06, </w:t>
      </w:r>
      <w:r>
        <w:rPr>
          <w:rFonts w:ascii="Times New Roman" w:cs="Times New Roman" w:eastAsia="Times New Roman" w:hAnsi="Times New Roman"/>
          <w:sz w:val="14"/>
          <w:szCs w:val="14"/>
          <w:i w:val="1"/>
          <w:iCs w:val="1"/>
          <w:color w:val="auto"/>
        </w:rPr>
        <w:t>Debt-Debt with Conversion and Other Options (Subtopic 470-20) and Derivatives and Hedging-Contracts in Entity’s Own Equity (Subtopic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815-40)</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Accounting for Convertible Instruments and Contracts in an Entity’s Own Equity</w:t>
      </w:r>
      <w:r>
        <w:rPr>
          <w:rFonts w:ascii="Times New Roman" w:cs="Times New Roman" w:eastAsia="Times New Roman" w:hAnsi="Times New Roman"/>
          <w:sz w:val="14"/>
          <w:szCs w:val="14"/>
          <w:color w:val="auto"/>
        </w:rPr>
        <w:t>. This Accounting Standards Update was issued to address the complexity in accounting for certain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condensed financial statements.</w:t>
      </w:r>
    </w:p>
    <w:p>
      <w:pPr>
        <w:spacing w:after="0" w:line="5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June 2022, the FASB issued ASU 2022-03, </w:t>
      </w:r>
      <w:r>
        <w:rPr>
          <w:rFonts w:ascii="Times New Roman" w:cs="Times New Roman" w:eastAsia="Times New Roman" w:hAnsi="Times New Roman"/>
          <w:sz w:val="14"/>
          <w:szCs w:val="14"/>
          <w:i w:val="1"/>
          <w:iCs w:val="1"/>
          <w:color w:val="auto"/>
        </w:rPr>
        <w:t>Fair Value Measurement (Topic 820)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Fair Value Measurement of Equity Securities Subject to Contractual Sale Restrictions</w:t>
      </w:r>
      <w:r>
        <w:rPr>
          <w:rFonts w:ascii="Times New Roman" w:cs="Times New Roman" w:eastAsia="Times New Roman" w:hAnsi="Times New Roman"/>
          <w:sz w:val="14"/>
          <w:szCs w:val="14"/>
          <w:color w:val="auto"/>
        </w:rPr>
        <w:t xml:space="preserve">. This Accounting Standards Update was issued to clarify the guidance in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condensed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Adopted as of September 30, 2024:</w:t>
      </w:r>
    </w:p>
    <w:p>
      <w:pPr>
        <w:spacing w:after="0" w:line="8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w:t>
      </w:r>
      <w:r>
        <w:rPr>
          <w:rFonts w:ascii="Times New Roman" w:cs="Times New Roman" w:eastAsia="Times New Roman" w:hAnsi="Times New Roman"/>
          <w:sz w:val="14"/>
          <w:szCs w:val="14"/>
          <w:i w:val="1"/>
          <w:iCs w:val="1"/>
          <w:color w:val="auto"/>
        </w:rPr>
        <w:t>7</w:t>
      </w:r>
      <w:r>
        <w:rPr>
          <w:rFonts w:ascii="Times New Roman" w:cs="Times New Roman" w:eastAsia="Times New Roman" w:hAnsi="Times New Roman"/>
          <w:sz w:val="14"/>
          <w:szCs w:val="14"/>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evaluating the effects of this pronouncement on its related disclosures.</w:t>
      </w:r>
    </w:p>
    <w:p>
      <w:pPr>
        <w:spacing w:after="0" w:line="172"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In December 2023, the FASB issued ASU 2023-09—</w:t>
      </w:r>
      <w:r>
        <w:rPr>
          <w:rFonts w:ascii="Times New Roman" w:cs="Times New Roman" w:eastAsia="Times New Roman" w:hAnsi="Times New Roman"/>
          <w:sz w:val="14"/>
          <w:szCs w:val="14"/>
          <w:i w:val="1"/>
          <w:iCs w:val="1"/>
          <w:color w:val="auto"/>
        </w:rPr>
        <w:t>Income Taxes (Topic 740)—Improvements to Income Tax Disclosures.</w:t>
      </w:r>
      <w:r>
        <w:rPr>
          <w:rFonts w:ascii="Times New Roman" w:cs="Times New Roman" w:eastAsia="Times New Roman" w:hAnsi="Times New Roman"/>
          <w:sz w:val="14"/>
          <w:szCs w:val="14"/>
          <w:color w:val="auto"/>
        </w:rPr>
        <w:t xml:space="preserve"> This Accounting Standards Update was issued to enhance the transparency and decision usefulness of income tax</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beginning January 1, 2025, with early adoption of the amendments permitted. The Company is currently evaluating the impact from the adoption of ASU 2023-09 on disclosures to its condensed financial statements.</w:t>
      </w:r>
    </w:p>
    <w:p>
      <w:pPr>
        <w:spacing w:after="0" w:line="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3.</w:t>
      </w:r>
      <w:r>
        <w:rPr>
          <w:sz w:val="20"/>
          <w:szCs w:val="20"/>
          <w:color w:val="auto"/>
        </w:rPr>
        <w:tab/>
      </w:r>
      <w:r>
        <w:rPr>
          <w:rFonts w:ascii="Times New Roman" w:cs="Times New Roman" w:eastAsia="Times New Roman" w:hAnsi="Times New Roman"/>
          <w:sz w:val="13"/>
          <w:szCs w:val="13"/>
          <w:b w:val="1"/>
          <w:bCs w:val="1"/>
          <w:color w:val="auto"/>
        </w:rPr>
        <w:t>Risks and Uncertainties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assesses liquidity in terms of its ability to generate cash to fund its operating, investing and financing activities. The Company’s cash requirements for the remainder of 2024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September 30, 2024, the Company had $77,893 of cash and cash equivalents.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Company has experienced a history of net losses. The Company’s accumulated deficits totaled $346,159 as of September 30, 2024.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equity and debt offerings, including the 13.5% Senior Secured Notes as further discussed in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the ATM facility and other equity offerings, including the Underwritten Public Offering as discussed in Note 1, Part B </w:t>
      </w:r>
      <w:r>
        <w:rPr>
          <w:rFonts w:ascii="Times New Roman" w:cs="Times New Roman" w:eastAsia="Times New Roman" w:hAnsi="Times New Roman"/>
          <w:sz w:val="14"/>
          <w:szCs w:val="14"/>
          <w:i w:val="1"/>
          <w:iCs w:val="1"/>
          <w:color w:val="auto"/>
        </w:rPr>
        <w:t>Equity Transactions.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and under the Lincoln Park Purchase Agreement, provide near term liquidity for the Company to fund its operating needs for at least the next twelve months as it continues to execute its business strategy.</w:t>
      </w:r>
    </w:p>
    <w:p>
      <w:pPr>
        <w:spacing w:after="0" w:line="4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4.</w:t>
      </w:r>
      <w:r>
        <w:rPr>
          <w:sz w:val="20"/>
          <w:szCs w:val="20"/>
          <w:color w:val="auto"/>
        </w:rPr>
        <w:tab/>
      </w:r>
      <w:r>
        <w:rPr>
          <w:rFonts w:ascii="Times New Roman" w:cs="Times New Roman" w:eastAsia="Times New Roman" w:hAnsi="Times New Roman"/>
          <w:sz w:val="13"/>
          <w:szCs w:val="13"/>
          <w:b w:val="1"/>
          <w:bCs w:val="1"/>
          <w:color w:val="auto"/>
        </w:rPr>
        <w:t>Revenues and Trade Receivables, Net</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spacing w:after="0" w:line="5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Manufacture and supply revenue </w:t>
      </w:r>
      <w:r>
        <w:rPr>
          <w:rFonts w:ascii="Times New Roman" w:cs="Times New Roman" w:eastAsia="Times New Roman" w:hAnsi="Times New Roman"/>
          <w:sz w:val="14"/>
          <w:szCs w:val="14"/>
          <w:color w:val="auto"/>
        </w:rPr>
        <w:t>– this revenue is derived from products manufactured exclusively for specific customers according to their strictly-defined specifications, subject only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specified quality control inspections. Accordingly, at the point in time when quality control requirements are satisfied, revenue net of related discounts is recorded.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License and Royalty Revenu</w:t>
      </w:r>
      <w:r>
        <w:rPr>
          <w:rFonts w:ascii="Times New Roman" w:cs="Times New Roman" w:eastAsia="Times New Roman" w:hAnsi="Times New Roman"/>
          <w:sz w:val="14"/>
          <w:szCs w:val="14"/>
          <w:color w:val="auto"/>
        </w:rPr>
        <w:t>e – license revenues are determined based on an assessment of whether the license is distinct from any other performance obligations that may be included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Royalty revenue is estimated and recognized when sales under supply agreements with commercial licensees are recorded, absent any contractual constraints or collectability uncertainties.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Royalties based on sales of licensed products have been recorded in this manner.</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Revenue recognition arising from milestone payments is dependent upon the facts and circumstances surrounding the milestone payments. Milestone payments based on a non-sales metric such as a development-based milestone (i</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spacing w:after="0" w:line="5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Co-development and Research Fees </w:t>
      </w:r>
      <w:r>
        <w:rPr>
          <w:rFonts w:ascii="Times New Roman" w:cs="Times New Roman" w:eastAsia="Times New Roman" w:hAnsi="Times New Roman"/>
          <w:sz w:val="14"/>
          <w:szCs w:val="14"/>
          <w:color w:val="auto"/>
        </w:rPr>
        <w:t>– co-development and research fees are earned through performance of specific tasks, activities or completion of stages of development defined within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Proprietary product revenue, net </w:t>
      </w:r>
      <w:r>
        <w:rPr>
          <w:rFonts w:ascii="Times New Roman" w:cs="Times New Roman" w:eastAsia="Times New Roman" w:hAnsi="Times New Roman"/>
          <w:sz w:val="14"/>
          <w:szCs w:val="14"/>
          <w:color w:val="auto"/>
        </w:rPr>
        <w:t>- this net revenue is recognized when product is shipped and title passes to the customer, typically at time of delivery. At the time of sale, estimates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revenue allowances are recorded based on historical trends and judgmental estimates. 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5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 in certain situations, customer contractual payment terms provide for invoicing in arrears. Accordingly, some, or all performance obligations may be completely satisfied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September 30, 2024, and December 31, 2023, such contract assets were $654 and $1,662,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Contract Liabilities </w:t>
      </w:r>
      <w:r>
        <w:rPr>
          <w:rFonts w:ascii="Times New Roman" w:cs="Times New Roman" w:eastAsia="Times New Roman" w:hAnsi="Times New Roman"/>
          <w:sz w:val="14"/>
          <w:szCs w:val="14"/>
          <w:color w:val="auto"/>
        </w:rPr>
        <w:t>- in certain situations, customer contractual payment terms are structured to permit invoicing in advance of delivery of a good or service. In such instances,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September 30, 2024 and December 31, 2023, such contract liabilities were $21,314 and $33,896,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Costs to obtain contracts </w:t>
      </w:r>
      <w:r>
        <w:rPr>
          <w:rFonts w:ascii="Times New Roman" w:cs="Times New Roman" w:eastAsia="Times New Roman" w:hAnsi="Times New Roman"/>
          <w:sz w:val="14"/>
          <w:szCs w:val="14"/>
          <w:color w:val="auto"/>
        </w:rPr>
        <w:t>- in certain situations, the Company may incur incremental costs of obtaining a contract with a customer. These costs, if expected to be recovered, are recognized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asset and reflected as other assets within the Condensed Balance Sheets. The asset is amortized on a systematic basis that is consistent with the transfer to the customer of the goods or services to which the asset relates. As of September 30, 2024 and December 31, 2023, such costs to obtain contracts were $488 and $715,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Company’s revenues were comprised of the following:</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1"/>
                <w:szCs w:val="21"/>
                <w:color w:val="auto"/>
              </w:rPr>
            </w:pPr>
          </w:p>
        </w:tc>
        <w:tc>
          <w:tcPr>
            <w:tcW w:w="2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1"/>
                <w:szCs w:val="21"/>
                <w:color w:val="auto"/>
              </w:rPr>
            </w:pPr>
          </w:p>
        </w:tc>
        <w:tc>
          <w:tcPr>
            <w:tcW w:w="2220" w:type="dxa"/>
            <w:vAlign w:val="bottom"/>
            <w:gridSpan w:val="4"/>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 revenue</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32,807</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License and royalty revenue</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Co-development and research fees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 revenue,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4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13,542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disaggregated net revenue by geographic area:</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1"/>
                <w:szCs w:val="21"/>
                <w:color w:val="auto"/>
              </w:rPr>
            </w:pPr>
          </w:p>
        </w:tc>
        <w:tc>
          <w:tcPr>
            <w:tcW w:w="2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1"/>
                <w:szCs w:val="21"/>
                <w:color w:val="auto"/>
              </w:rPr>
            </w:pPr>
          </w:p>
        </w:tc>
        <w:tc>
          <w:tcPr>
            <w:tcW w:w="2220" w:type="dxa"/>
            <w:vAlign w:val="bottom"/>
            <w:gridSpan w:val="4"/>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10,528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Ex-United States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13,542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three months ended September 30, 2024, United States revenues were derived primarily from Indivior (manufacture and supply revenue, and co-development and research fees), and a customer whose license and royalty revenue was previously recorded as deferred revenue and now recognized due to the termination of a contract. Ex-United States revenues were derived primarily from Indivior (manufacture and supply revenue, license and royalty revenue and co-development and research fees), and Hypera (manufacture and supply revenue) for revenue markets outside of the United States.</w:t>
      </w:r>
    </w:p>
    <w:p>
      <w:pPr>
        <w:spacing w:after="0" w:line="5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For the nine months ended September 30, 2024, United States revenues were derived primarily from Indivior (manufacture and supply revenue, and co-development and research fees), MTPA (license and royalty revenue that was previously recorded as deferred revenue and now recognized due to the termination of the contract), Assertio (manufacture and supply revenue, license and royalty revenue and co-development and research fees), and a customer whose license and royalty revenue was previously recorded as deferred revenue and now recognized due to the termination of a contract. Ex-United States revenues were derived primarily from Indivior (manufacture and supply revenue, license and royalty revenue and co-development and research fees), Haisco (license and royalty revenue that was previously recorded as deferred revenue and now recognized due to the termination of the contract), and Hypera (manufacture and supply revenue, license and royalty revenue) for revenue markets outside of the United States.</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three months ended September 30, 2023, United States revenues were derived primarily from Indivior (manufacture and supply revenue, and co-development and research fees), and Assertio (manufacture and supply revenue and license and royalty revenue). Ex-United States revenues were derived primarily from Indivior (manufacture and supply revenue, license and royalty revenue and co-developm ent and research fees).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nine months ended September 30, 2023, United States revenues were derived primarily from Indivior (manufacture and supply revenue, and co-development and research fees), Assertio (manufacture and supply revenue, and license and royalty revenue), and Zevra (license and royalty revenue). Ex-United States revenues were derived primarily from Indivior (manufacture and supply revenue, license and royalty revenue and co-development and research fees) and Hypera (manufacture and supply revenue and license and royalty revenue) for revenue markets outside of the United States.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80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Trade and other receivables, net consist of the following: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and other receivables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doubtful accounts</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sales-related allowances</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changes in the allowance for doubtful accounts:</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at beginning of the period</w:t>
            </w:r>
          </w:p>
        </w:tc>
        <w:tc>
          <w:tcPr>
            <w:tcW w:w="2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Allowance expense (reduction)</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at end of the period</w:t>
            </w:r>
          </w:p>
        </w:tc>
        <w:tc>
          <w:tcPr>
            <w:tcW w:w="24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Sales-Related Allowances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5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The following tables provides a summary of activity with respect to sales-related allowances:</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9"/>
        </w:trPr>
        <w:tc>
          <w:tcPr>
            <w:tcW w:w="80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0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Provision</w:t>
            </w:r>
          </w:p>
        </w:tc>
        <w:tc>
          <w:tcPr>
            <w:tcW w:w="12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 credits</w:t>
            </w: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Reclassifications</w:t>
            </w:r>
          </w:p>
        </w:tc>
        <w:tc>
          <w:tcPr>
            <w:tcW w:w="1220" w:type="dxa"/>
            <w:vAlign w:val="bottom"/>
          </w:tcPr>
          <w:p>
            <w:pPr>
              <w:spacing w:after="0"/>
              <w:rPr>
                <w:sz w:val="15"/>
                <w:szCs w:val="15"/>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196"/>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1220" w:type="dxa"/>
            <w:vAlign w:val="bottom"/>
            <w:tcBorders>
              <w:top w:val="single" w:sz="8" w:color="auto"/>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Accruals for returns allowances and prompt pay discounts are reflected as a direct reduction of trade receivables and accruals for wholesaler service fees, co-pay support redemptions and other rebates as current liabilities. The accrued balances relative to these provisions included in Trade and other receivables, net and accrued expenses were $28 and $640, respectively, as of September 30, 2024, and $0 and $645, respectively, as of December 31, 2023. See Note 12, </w:t>
      </w:r>
      <w:r>
        <w:rPr>
          <w:rFonts w:ascii="Times New Roman" w:cs="Times New Roman" w:eastAsia="Times New Roman" w:hAnsi="Times New Roman"/>
          <w:sz w:val="14"/>
          <w:szCs w:val="14"/>
          <w:i w:val="1"/>
          <w:iCs w:val="1"/>
          <w:color w:val="auto"/>
        </w:rPr>
        <w:t>Accrued Expenses</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Major Customers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Customers are considered major customers when net revenue exceeds 10% of total revenue for the period or outstanding receivable balances exceed 10% of total receivables. For the nine months ended September 30, 2024, Indivior and Haisco, represented approximately 59% and 15%, and of total revenue, including the one-time recognition of deferred revenue for Haisco, respectively. As of September 30, 2024, Indivior exceeded the 10% threshold for outstanding receivable balances and represented approximately 67% of total trade and other receivables. For the nine months ended September 30, 2023, Indivior represented approximately 79% of total revenue. As of December 31, 2023, Indivior and Zevra Therapeutics, Inc. represented 65% and 13% of total trade and other receivables, respectively.</w:t>
      </w:r>
    </w:p>
    <w:p>
      <w:pPr>
        <w:spacing w:after="0" w:line="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5.</w:t>
        <w:tab/>
        <w:t>Material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Exploitation Agreement with Indivior</w:t>
      </w:r>
    </w:p>
    <w:p>
      <w:pPr>
        <w:spacing w:after="0" w:line="9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In August 2008, the Company entered into the Indivior License Agreement (with subsequent amendments) with Reckitt Benckiser Pharmaceuticals, Inc. which was later succeeded to in interest by Indivior. Pursuant to the Indivior License Agreement, the Company agreed to manufacture and supply Indivior’s requirements for Suboxone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sublingual film formulation, both inside and outside the United States on an exclusive basis.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 year periods.</w:t>
      </w:r>
    </w:p>
    <w:p>
      <w:pPr>
        <w:spacing w:after="0" w:line="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Effective as of March 2, 2023, the Company and Indivior entered into the Indivior Agreement to the Indivior License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 During the nine months ended September 30, 2023, in consideration of the agreements between the parties, the Company received a payment of $11,482 from Indivior, of which amount $5,482 represented: (a) payment of the portion of a 2022 price increase that had not been previously paid and (b) an estimated payment in 2023 for certain price increases. During the nine months ended September 30, 2023, the Company recognized $4,396, of which $1,682 was related to the 2022 price increases, in Manufacture and supply revenue and $6,000 in Interest income and other income, net on the Condensed Statements of Operations and Comprehensive (Loss) Income. As of December 31, 2023, the $5,482 price increase had been fully recognized in Manufacture and supply revenue; there were no retroactive price adjustments included in Manufacture and supply revenue for the nine months ended September 30,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Agreement with Indivior</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No further payments are due to the Company under the Indivior Supplemental Agreement. See Note 19,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xml:space="preserve"> for details.</w:t>
      </w:r>
    </w:p>
    <w:p>
      <w:pPr>
        <w:spacing w:after="0" w:line="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All payments made by Indivior to the Company pursuant to the Indivior Supplemental Agreement were in addition to, and not in place of, any amounts owed by Indivior to the Company pursuant to the Indivior License Agreement.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Sunovion Pharmaceuticals, Inc.</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amount was received as of September 30, 2020 and was included in License and royalty revenues for the twelve months ended December 31, 2020.</w:t>
      </w:r>
    </w:p>
    <w:p>
      <w:pPr>
        <w:spacing w:after="0" w:line="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Effective March 16, 2020, the Company entered into the First Amendment to the Sunovion License Agreement. The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and Sale Agreement with an affiliate of Marathon</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September 30, 2024 under the Monetization Agreement.</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15,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further details on the accounting for the Monetization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Agreement to Terminate CLA with Zevra Therapeutics, Inc. (formerly KemPharm)</w:t>
      </w:r>
    </w:p>
    <w:p>
      <w:pPr>
        <w:spacing w:after="0" w:line="9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and Supply Agreement with Haisco for Exservan™ (Riluzole Oral Film) for ALS Treatment in China</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entered into the Haisco Agreement with Haisco, a Chinese limited company listed on the Shenzhen Stock Exchange,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payments under the Haisco Agreement. The termination agreement released all parties from any existing or ongoing obligations. Commissions of $134 that had been capitalized were expensed immediately in Selling, general, and administrative expenses on the Condensed Statements of Operations and Comprehensive (Loss) Income. The Company recognized deferred revenue of $7,000 for the upfront payment received in September 2022 on the Company's condensed financial statements for the nine months ended September 30,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Compensatory Arrangements of Certain Officers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dated as of May 17, 2022. Under the Separation Agreement, in addition to other severance benefits already received by Mr. Kendall in 2022, Mr. Kendall received a monthly severance payment for eighteen months following the Termination Date, or November 22, 2023. During the first quarter of 2023, net severance payments made to Mr. Kendall totaled approximately $274. By the end of December 31, 2023, all payments due to Mr. Kendall were made.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and Supply Agreement with Atnahs Pharma UK Limited</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(as defined in the Pharmanovia Agreement)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Agreement with Assertio Holdings, Inc.</w:t>
      </w:r>
    </w:p>
    <w:p>
      <w:pPr>
        <w:spacing w:after="0" w:line="93" w:lineRule="exact"/>
        <w:rPr>
          <w:sz w:val="20"/>
          <w:szCs w:val="20"/>
          <w:color w:val="auto"/>
        </w:rPr>
      </w:pPr>
    </w:p>
    <w:p>
      <w:pPr>
        <w:jc w:val="both"/>
        <w:ind w:firstLine="509"/>
        <w:spacing w:after="0" w:line="172" w:lineRule="exact"/>
        <w:rPr>
          <w:sz w:val="20"/>
          <w:szCs w:val="20"/>
          <w:color w:val="auto"/>
        </w:rPr>
      </w:pPr>
      <w:r>
        <w:rPr>
          <w:rFonts w:ascii="Times New Roman" w:cs="Times New Roman" w:eastAsia="Times New Roman" w:hAnsi="Times New Roman"/>
          <w:sz w:val="14"/>
          <w:szCs w:val="14"/>
          <w:color w:val="auto"/>
        </w:rPr>
        <w:t>Effective as of October 26, 2022, the Company entered into the Assertio Agreement to license Sympazan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(clobazam) oral film for the adjunctive treatment of seizures associated with Lennox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Gastaut syndrome in patients aged two years of age and older. Under the terms of the Assertio Agreement, the Company granted to Assertio an exclusive, worldwide license of its intellectual property for Sympazan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Agreement with Mitsubishi Tanabe Pharma America, Inc.</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January 2021, the Company announced that Aquestive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the limited post-termination obligations). Upon termination, deferred revenue of $3,317 was recognized for milestone payments that had been received. Commissions of $57 that had been capitalized were expensed immediately in Selling, general, and administrative expenses on the Condensed Statements of Operations and Comprehensive (Loss) Income for the nine months ended September 30,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6.</w:t>
      </w:r>
      <w:r>
        <w:rPr>
          <w:sz w:val="20"/>
          <w:szCs w:val="20"/>
          <w:color w:val="auto"/>
        </w:rPr>
        <w:tab/>
      </w:r>
      <w:r>
        <w:rPr>
          <w:rFonts w:ascii="Times New Roman" w:cs="Times New Roman" w:eastAsia="Times New Roman" w:hAnsi="Times New Roman"/>
          <w:sz w:val="13"/>
          <w:szCs w:val="13"/>
          <w:b w:val="1"/>
          <w:bCs w:val="1"/>
          <w:color w:val="auto"/>
        </w:rPr>
        <w:t>Financial Instruments – Fair Value Measurements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6" w:lineRule="exact"/>
        <w:rPr>
          <w:sz w:val="20"/>
          <w:szCs w:val="20"/>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Observable 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prices that are based on inputs not quoted on active markets but corroborated by market data.</w:t>
      </w:r>
    </w:p>
    <w:p>
      <w:pPr>
        <w:spacing w:after="0" w:line="9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supported by little or no market activity, such as pricing models, discounted cash flow methodologies and similar techniques.</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Times New Roman" w:cs="Times New Roman" w:eastAsia="Times New Roman" w:hAnsi="Times New Roman"/>
          <w:sz w:val="14"/>
          <w:szCs w:val="14"/>
          <w:i w:val="1"/>
          <w:iCs w:val="1"/>
          <w:color w:val="auto"/>
        </w:rPr>
        <w:t>, Warrants</w:t>
      </w:r>
      <w:r>
        <w:rPr>
          <w:rFonts w:ascii="Times New Roman" w:cs="Times New Roman" w:eastAsia="Times New Roman" w:hAnsi="Times New Roman"/>
          <w:sz w:val="14"/>
          <w:szCs w:val="14"/>
          <w:color w:val="auto"/>
        </w:rPr>
        <w:t xml:space="preserve"> for further information on these warrants.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Company’s 12.5% Senior Secured Notes contained a repurchase offer or put option which gave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 w:cs="Times New Roman" w:eastAsia="Times New Roman" w:hAnsi="Times New Roman"/>
          <w:sz w:val="14"/>
          <w:szCs w:val="14"/>
          <w:i w:val="1"/>
          <w:iCs w:val="1"/>
          <w:color w:val="auto"/>
        </w:rPr>
        <w:t>, Warrants</w:t>
      </w:r>
      <w:r>
        <w:rPr>
          <w:rFonts w:ascii="Times New Roman" w:cs="Times New Roman" w:eastAsia="Times New Roman" w:hAnsi="Times New Roman"/>
          <w:sz w:val="14"/>
          <w:szCs w:val="14"/>
          <w:color w:val="auto"/>
        </w:rPr>
        <w:t xml:space="preserve"> for further information on these warrants.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Warrants </w:t>
      </w:r>
      <w:r>
        <w:rPr>
          <w:rFonts w:ascii="Times New Roman" w:cs="Times New Roman" w:eastAsia="Times New Roman" w:hAnsi="Times New Roman"/>
          <w:sz w:val="14"/>
          <w:szCs w:val="14"/>
          <w:color w:val="auto"/>
        </w:rPr>
        <w:t>for further information on these warrants.</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1, 2023, in connection with the issuance of the 13.5% Notes, the Company and the Note Holders entered into the Royalty Right Agreements dated as of November 1, 2023, which provided the Note Holders:</w:t>
      </w:r>
    </w:p>
    <w:p>
      <w:pPr>
        <w:spacing w:after="0" w:line="39" w:lineRule="exact"/>
        <w:rPr>
          <w:sz w:val="20"/>
          <w:szCs w:val="20"/>
          <w:color w:val="auto"/>
        </w:rPr>
      </w:pPr>
    </w:p>
    <w:p>
      <w:pPr>
        <w:ind w:left="520" w:hanging="260"/>
        <w:spacing w:after="0" w:line="263" w:lineRule="auto"/>
        <w:tabs>
          <w:tab w:leader="none" w:pos="5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and 2.0% of annual worldwide net sales of Anaphylm™ (epinephrine) Sublingual Film for a period of eight years from the first sale of Anaphylm on a global basis, and</w:t>
      </w:r>
    </w:p>
    <w:p>
      <w:pPr>
        <w:ind w:left="520" w:hanging="260"/>
        <w:spacing w:after="0" w:line="266"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to 2.0% of annual worldwide net sales of Libervant™ (diazepam) Buccal Film until the earlier of (1) the first sale of Anaphylm and (2) eight years from the first sale of Libervant.</w:t>
      </w:r>
    </w:p>
    <w:p>
      <w:pPr>
        <w:spacing w:after="0" w:line="53"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Those Royalty Agreements were valued based on Level 3 inputs and their fair value was based primarily on internal management estimates developed based on third-party data and reflect management’s judgements, the then current market conditions, and forecasts. The initial fair value measurement of the Royalty Right Agreements was determined based 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significant unobservable inputs, including the discount rate, estimated probabilities of success, and the estimated amount of future sales of Anaphylm and Libervant. See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components of Inventory are as follows: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8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Packaging material</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inventory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6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0" w:type="dxa"/>
            <w:vAlign w:val="bottom"/>
            <w:vMerge w:val="continue"/>
          </w:tcPr>
          <w:p>
            <w:pPr>
              <w:spacing w:after="0"/>
              <w:rPr>
                <w:sz w:val="24"/>
                <w:szCs w:val="24"/>
                <w:color w:val="auto"/>
              </w:rPr>
            </w:pPr>
          </w:p>
        </w:tc>
        <w:tc>
          <w:tcPr>
            <w:tcW w:w="61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 years</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20,317</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3-15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network equipment and software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3-7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Leasehold improvements are amortized over the shorter of the lease term or their estimated useful lives.</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Total depreciation, amortization, and impairment related to property and equipment was $159 and $218 for the three months ended September 30, 2024 and 2023, respectively. For the respective nine month periods, these expenses totaled $493 and $760.</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9.</w:t>
        <w:tab/>
        <w:t>Right-of-Use Assets and Lease Obligations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which require classification as financing leases and, accordingly, these leases are accounted for as operating leases. These leases, as amended, provide remaining terms between 3.5 years and 9.0 years, including renewal options expected to be exercised to extend the lease periods.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recognized a lease supporting its manufacturing facilities as a finance lease. Commitments under finance leases are not significant, and are included in Property and equipment, net, and Notes payable, net on the Condensed Balance Sheets.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does not recognize a right-to 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lease costs are recorded in manufacture and supply, research and development and selling, general and administrative expenses in its Condensed Statements of Operations and Comprehensive (Loss) Income. For the three and nine months ended September 30, 2024, total operating lease expenses totaled $457 and $1,345, respectively, including variable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expenses such as common area maintenance and operating costs of $123 and $349, respectively. For the three and nine months ended September 30, 2023, total operating lease expenses totaled $438 and $1,308, respectively, including variable lease expenses such as common area maintenance and operating costs of $109 and $338, respectively.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Company’s payments due under its operating leases are as follows: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Intangible Assets, Net</w:t>
            </w: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the components of identifiable intangible assets, all of which are finite lived:</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intangible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Purchased patent</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(3,089)</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Amortization expense was $39 for the three months ended September 30, 2023. There was no amortization expense incurred during the three months ended September 30, 2024. For the nine months ended September 30, 2024 and 2023, these expenses totaled $78 and $117, respectively. In June 2024,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Condensed Statements of Operations and Comprehensive (Loss) Income for the nine months ended September 30, 2024. See Note 5, </w:t>
      </w:r>
      <w:r>
        <w:rPr>
          <w:rFonts w:ascii="Times New Roman" w:cs="Times New Roman" w:eastAsia="Times New Roman" w:hAnsi="Times New Roman"/>
          <w:sz w:val="14"/>
          <w:szCs w:val="14"/>
          <w:i w:val="1"/>
          <w:iCs w:val="1"/>
          <w:color w:val="auto"/>
        </w:rPr>
        <w:t>Material Agreements.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Other Non-current Assets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5"/>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the components of other non-current assets: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9"/>
        </w:trPr>
        <w:tc>
          <w:tcPr>
            <w:tcW w:w="8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1"/>
                <w:szCs w:val="21"/>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receivable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 w:cs="Times New Roman" w:eastAsia="Times New Roman" w:hAnsi="Times New Roman"/>
          <w:sz w:val="14"/>
          <w:szCs w:val="14"/>
          <w:i w:val="1"/>
          <w:iCs w:val="1"/>
          <w:color w:val="auto"/>
        </w:rPr>
        <w:t>Transfer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Servicing </w:t>
      </w:r>
      <w:r>
        <w:rPr>
          <w:rFonts w:ascii="Times New Roman" w:cs="Times New Roman" w:eastAsia="Times New Roman" w:hAnsi="Times New Roman"/>
          <w:sz w:val="14"/>
          <w:szCs w:val="14"/>
          <w:color w:val="auto"/>
        </w:rPr>
        <w:t>to determine whether the existing receivable was transferred to Marathon and concluded it was not transferred. As of September 30, 2024 and December 31, 2023, Royalty receivable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consists of four and five, respectively, annual minimum payments due from Sunovion, the last of which is due in March 2028. The current portion of the royalty receivable is included in Trade and other receivables, net. See Note 15,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further details on how this receivable relates to the Monetization Agreement transaction.</w:t>
      </w:r>
    </w:p>
    <w:p>
      <w:pPr>
        <w:spacing w:after="0" w:line="5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Non-current portion of commissions capitalized under ASC 340, </w:t>
      </w:r>
      <w:r>
        <w:rPr>
          <w:rFonts w:ascii="Times New Roman" w:cs="Times New Roman" w:eastAsia="Times New Roman" w:hAnsi="Times New Roman"/>
          <w:sz w:val="14"/>
          <w:szCs w:val="14"/>
          <w:i w:val="1"/>
          <w:iCs w:val="1"/>
          <w:color w:val="auto"/>
        </w:rPr>
        <w:t>Other Assets and Deferred Costs,</w:t>
      </w:r>
      <w:r>
        <w:rPr>
          <w:rFonts w:ascii="Times New Roman" w:cs="Times New Roman" w:eastAsia="Times New Roman" w:hAnsi="Times New Roman"/>
          <w:sz w:val="14"/>
          <w:szCs w:val="14"/>
          <w:color w:val="auto"/>
        </w:rPr>
        <w:t xml:space="preserve"> is recorded within Other non-current assets on the Condensed Balance Sheets. Commissions of $191 were expensed in Selling, general, and administrative expenses on the Condensed Statements of Operations and Comprehensive (Loss) Income for the nine months ended September 30, 2024 due to the termination of the underlying contracts.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16"/>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Accrued Expenses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5"/>
        </w:trPr>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Accrued expenses consisted of the following:</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4"/>
        </w:trPr>
        <w:tc>
          <w:tcPr>
            <w:tcW w:w="10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1"/>
                <w:szCs w:val="21"/>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1000" w:type="dxa"/>
            <w:vAlign w:val="bottom"/>
            <w:tcBorders>
              <w:bottom w:val="single" w:sz="8" w:color="CCEEFF"/>
            </w:tcBorders>
          </w:tcPr>
          <w:p>
            <w:pPr>
              <w:spacing w:after="0"/>
              <w:rPr>
                <w:sz w:val="16"/>
                <w:szCs w:val="16"/>
                <w:color w:val="auto"/>
              </w:rPr>
            </w:pPr>
          </w:p>
        </w:tc>
        <w:tc>
          <w:tcPr>
            <w:tcW w:w="7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estate and personal property taxes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distribution expenses and sales returns provision</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7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accrued expenses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w:t>
            </w:r>
          </w:p>
        </w:tc>
      </w:tr>
      <w:tr>
        <w:trPr>
          <w:trHeight w:val="20"/>
        </w:trPr>
        <w:tc>
          <w:tcPr>
            <w:tcW w:w="10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reduction in Accrued compensation is related to payments of accrued bonuses during the nine months ended September 30, 2024, partially offset by the current year accrual of bonuses.</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decrease in Interest payable is mostly due to the timing of interest payments on the 13.5% Senior Notes. The third quarter 2024 interest payment on the 13.5% Senior Notes was made on September 30, 2024. As of December 31, 2023, interest payable on the 13.5% Senior Notes was due on January 2, 2024. See Note 13, </w:t>
      </w:r>
      <w:r>
        <w:rPr>
          <w:rFonts w:ascii="Times New Roman" w:cs="Times New Roman" w:eastAsia="Times New Roman" w:hAnsi="Times New Roman"/>
          <w:sz w:val="14"/>
          <w:szCs w:val="14"/>
          <w:i w:val="1"/>
          <w:iCs w:val="1"/>
          <w:color w:val="auto"/>
        </w:rPr>
        <w:t>Long-Term Debt ,</w:t>
      </w:r>
      <w:r>
        <w:rPr>
          <w:rFonts w:ascii="Times New Roman" w:cs="Times New Roman" w:eastAsia="Times New Roman" w:hAnsi="Times New Roman"/>
          <w:sz w:val="14"/>
          <w:szCs w:val="14"/>
          <w:color w:val="auto"/>
        </w:rPr>
        <w:t xml:space="preserve"> for discussion of 13.5% Notes and related interest payable.</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Accrued distribution expenses and sales returns provision mostly represent estimated liabilities for wholesaler service fees, co-pay support redemptions and other rebates related to the proprietary product Libervant. and returns and other expenses related to the proprietary product Sympazan (prior to outlicensing to Assertio in October 2022).</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13.</w:t>
        <w:tab/>
        <w:t>Long-Term Debt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u w:val="single" w:color="auto"/>
          <w:color w:val="auto"/>
        </w:rPr>
        <w:t>12.5% Senior Secured Notes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July 15, 2019, the Company completed a private placement of up to $100,000 aggregate principal of its 12.5% Notes which were due 2025 and issued Warrants to purchase 2,000,000 shares of Common Stock at $0.001 par value per share.</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Upon closing of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Notes outstanding in the aggregate to $51,500 at December 31, 2020. The $4,000 principal issuance would be repaid proportionally over the same maturities as the other 12.5% Notes. The Company also paid to one of its noteholders a $2,250 premium as result of the early retirement of debt.</w:t>
      </w:r>
    </w:p>
    <w:p>
      <w:pPr>
        <w:spacing w:after="0" w:line="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accounted for the $22,500 debt repayment as a debt modification of the 12.5% Notes. The fees paid to noteholders inclusive of (i) a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5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First Supplemental Indenture contained a provision whereby, as the Company receives any cash proceeds from the Monetization Agreement, each noteholder had the right to require the Company to redeem all or any part of such noteholder’s outstanding 12.5% Notes at a repurchase price in cash equal to 112.5% of the principal amount, plus accrued and unpaid interest. This repurchase offer was capped at 30% of the cash proceeds received by the Company as the contingent milestones were attained, if any, up through June 30, 2025. The embedded put option was deemed to be a derivative under </w:t>
      </w:r>
      <w:r>
        <w:rPr>
          <w:rFonts w:ascii="Times New Roman" w:cs="Times New Roman" w:eastAsia="Times New Roman" w:hAnsi="Times New Roman"/>
          <w:sz w:val="14"/>
          <w:szCs w:val="14"/>
          <w:i w:val="1"/>
          <w:iCs w:val="1"/>
          <w:color w:val="auto"/>
        </w:rPr>
        <w:t>ASC 815, Derivatives and Hedging</w:t>
      </w:r>
      <w:r>
        <w:rPr>
          <w:rFonts w:ascii="Times New Roman" w:cs="Times New Roman" w:eastAsia="Times New Roman" w:hAnsi="Times New Roman"/>
          <w:sz w:val="14"/>
          <w:szCs w:val="14"/>
          <w:color w:val="auto"/>
        </w:rPr>
        <w:t>, which required the recording of the embedded put option at fair value subject to remeasurement at each reporting period. Accordingly, a valuation study was performed by an independent third party appraiser and updated in June 30, 2023. Based on the valuation study, the put option was valued at $0. The put option fair value decreased by $45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was recorded in interest income and other income, net on the Condensed Statements of Operations and Comprehensive (Loss) Income for the nine months ended September 30, 2023. There was no change in fair value during the three months ended September 30, 2023. In addition, as of the closing of this transaction, the Company issued to the holders of the 12.5% Notes warrants to purchase 143,000 shares of the Company’s Common Stock. As of September 30, 2024, the put option is no longer in place due to the refinancing of the 12.5% Notes.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October 7, 2021, the Company entered into the Fourth Supplemental Indenture, pursuant to which the amortization schedule for the 12.5% Notes was amended to provide for the date of the first principal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The last Consent Fee installment of $675 was made in February 2023.</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12.5% Notes provided a stated fixed interest rate of 12.5%, payable quarterly in arrears, with the final quarterly principal repayment of the 12.5% Notes due at maturity on June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could have elected, at its option, to redeem the 12.5% Notes at any time at premiums that range from 101.56% of outstanding principal if prepayment occurs on or after the fifth anniversary of the issue date of the Initial Notes to 112.50% if payment occurs during the third year after the issuance of the 12.5% Notes. The Indenture also included change of control provisions under which the Company would have been required to redeem the 12.5% Notes at 101% of the remaining principal plus accrued interest at the election of the noteholders.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the nine months ended September 30 2023, the Company redeemed $5,647 of its outstanding 12.5% Notes. The Company also paid $353 in prepayment premium as result of the early retirement of debt which was reflected as a loss on extinguishment of debt on the Company's Condensed Statements of Operations and Comprehensive (Loss) Income for the nine months ended September 30, 2023. The prepayments along with the scheduled principal payments of $6,878 during the nine months ended September 30, 2023 reduced the net balance of the 12.5% Notes outstanding in the aggregate to $38,975 as of September 30, 2023.</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Amortization expense arising from amortization of deferred debt issuance costs and debt discounts related to the 12.5% Notes for the three and nine months ended September 30, 2023 was $3 and $11, respectively.</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1, 2023, the Company issued the 13.5% Notes, as described below, and used most of the proceeds from the issuance to repay the outstanding principal balance under the 12.5% Notes of $36,014, including accrued and unpaid interest and a redemption fee.</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u w:val="single" w:color="auto"/>
          <w:color w:val="auto"/>
        </w:rPr>
        <w:t>13.5% Senior Secured Notes</w:t>
      </w:r>
    </w:p>
    <w:p>
      <w:pPr>
        <w:spacing w:after="0" w:line="96"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spacing w:after="0" w:line="21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13.5% Notes are senior secured obligations of the Company and mature on November 1, 2028. The 13.5% Notes bear interest at a fixed rate of 13.5% per year, payable quarterly commencing on December 30, 2023; the first interest payment was due and paid on January 2, 2024. On each payment date commencing on June 30, 2026, the Company will pay an installment of principal of the 13.5% Notes pursuant to a fixed amortization schedule, along with the applicable Exit Fee. The Exit Fee totals $2,000.</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may, at its option, redeem the 13.5% Notes in full or in part:</w:t>
      </w:r>
    </w:p>
    <w:p>
      <w:pPr>
        <w:spacing w:after="0" w:line="94" w:lineRule="exact"/>
        <w:rPr>
          <w:sz w:val="20"/>
          <w:szCs w:val="20"/>
          <w:color w:val="auto"/>
        </w:rPr>
      </w:pPr>
    </w:p>
    <w:p>
      <w:pPr>
        <w:ind w:left="520" w:hanging="260"/>
        <w:spacing w:after="0" w:line="287" w:lineRule="auto"/>
        <w:tabs>
          <w:tab w:leader="none" w:pos="5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redemption occurs prior to November 1, 2025, at a redemption price equal to 100% of the principal amount plus accrued and unpaid interest, plus the applicable Exit Fee, plus an Applicable Premium which is the greater of</w:t>
      </w:r>
    </w:p>
    <w:p>
      <w:pPr>
        <w:spacing w:after="0" w:line="39" w:lineRule="exact"/>
        <w:rPr>
          <w:rFonts w:ascii="Times New Roman" w:cs="Times New Roman" w:eastAsia="Times New Roman" w:hAnsi="Times New Roman"/>
          <w:sz w:val="14"/>
          <w:szCs w:val="14"/>
          <w:color w:val="auto"/>
        </w:rPr>
      </w:pPr>
    </w:p>
    <w:p>
      <w:pPr>
        <w:ind w:left="1020" w:hanging="326"/>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principal redeemed; and</w:t>
      </w:r>
    </w:p>
    <w:p>
      <w:pPr>
        <w:spacing w:after="0" w:line="23" w:lineRule="exact"/>
        <w:rPr>
          <w:rFonts w:ascii="Times New Roman" w:cs="Times New Roman" w:eastAsia="Times New Roman" w:hAnsi="Times New Roman"/>
          <w:sz w:val="14"/>
          <w:szCs w:val="14"/>
          <w:color w:val="auto"/>
        </w:rPr>
      </w:pPr>
    </w:p>
    <w:p>
      <w:pPr>
        <w:ind w:left="1020" w:hanging="365"/>
        <w:spacing w:after="0" w:line="266" w:lineRule="auto"/>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if any, by which the present value of the principal to be redeemed on November 1, 2025, plus all required interest due on such date, computed using a discount rate equal to the Treasury Rate, plus 100 basis points, exceeds the amount of principal to be redeemed; and</w:t>
      </w:r>
    </w:p>
    <w:p>
      <w:pPr>
        <w:spacing w:after="0" w:line="5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redemption occurs after November 1, 2025, the redemption price is equal to 108.5% of the principal amount plus accrued and unpaid interest, plus the applicable Exit Fee.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w:t>
      </w:r>
    </w:p>
    <w:p>
      <w:pPr>
        <w:spacing w:after="0" w:line="39"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issuance of 13.5% Notes, the Company and the Note Holders entered into the Royalty Right Agreements dated as of November 1, 2023, which provides Note Holders:</w:t>
      </w:r>
    </w:p>
    <w:p>
      <w:pPr>
        <w:spacing w:after="0" w:line="94" w:lineRule="exact"/>
        <w:rPr>
          <w:sz w:val="20"/>
          <w:szCs w:val="20"/>
          <w:color w:val="auto"/>
        </w:rPr>
      </w:pPr>
    </w:p>
    <w:p>
      <w:pPr>
        <w:ind w:left="520" w:right="20" w:hanging="260"/>
        <w:spacing w:after="0" w:line="287" w:lineRule="auto"/>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and 2.0% of annual worldwide net sales of Anaphylm™ (epinephrine) Sublingual Film for a period of 8 years from the first sale of Anaphylm on a global basis, and</w:t>
      </w:r>
    </w:p>
    <w:p>
      <w:pPr>
        <w:spacing w:after="0" w:line="39"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to 2.0% of annual worldwide net sales of Libervant™ (diazepam) Buccal Film until the earlier of (1) the first sale of Anaphylm and (2) eight years from the first sale of Libervant.</w:t>
      </w:r>
    </w:p>
    <w:p>
      <w:pPr>
        <w:spacing w:after="0" w:line="3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Both the 13.5% Notes and Royalty Right Agreements, represent freestanding instruments which were issued in conjunction with each other. They are classified as debt within the scope of ASC 470,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are subsequently measured on an amortized cost basis.</w:t>
      </w:r>
    </w:p>
    <w:p>
      <w:pPr>
        <w:spacing w:after="0" w:line="39"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spacing w:after="0" w:line="51"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 As of September 30, 2024, there were no material changes to the significant unobservable inputs used to recognize the Royalty Right Agreements liability.</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significant unobservable inputs used in the initial fair value measurement of the Royalty Right Agreements:</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120" w:type="dxa"/>
            <w:vAlign w:val="bottom"/>
            <w:tcBorders>
              <w:top w:val="single" w:sz="8" w:color="auto"/>
              <w:left w:val="single" w:sz="8" w:color="auto"/>
            </w:tcBorders>
          </w:tcPr>
          <w:p>
            <w:pPr>
              <w:spacing w:after="0"/>
              <w:rPr>
                <w:sz w:val="16"/>
                <w:szCs w:val="16"/>
                <w:color w:val="auto"/>
              </w:rPr>
            </w:pPr>
          </w:p>
        </w:tc>
        <w:tc>
          <w:tcPr>
            <w:tcW w:w="2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Valuation Methodology</w:t>
            </w:r>
          </w:p>
        </w:tc>
        <w:tc>
          <w:tcPr>
            <w:tcW w:w="80" w:type="dxa"/>
            <w:vAlign w:val="bottom"/>
            <w:tcBorders>
              <w:top w:val="single" w:sz="8" w:color="auto"/>
            </w:tcBorders>
          </w:tcPr>
          <w:p>
            <w:pPr>
              <w:spacing w:after="0"/>
              <w:rPr>
                <w:sz w:val="16"/>
                <w:szCs w:val="16"/>
                <w:color w:val="auto"/>
              </w:rPr>
            </w:pPr>
          </w:p>
        </w:tc>
        <w:tc>
          <w:tcPr>
            <w:tcW w:w="2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Borders>
              <w:top w:val="single" w:sz="8" w:color="auto"/>
              <w:bottom w:val="single" w:sz="8" w:color="CCEEFF"/>
            </w:tcBorders>
          </w:tcPr>
          <w:p>
            <w:pPr>
              <w:spacing w:after="0"/>
              <w:rPr>
                <w:sz w:val="16"/>
                <w:szCs w:val="16"/>
                <w:color w:val="auto"/>
              </w:rPr>
            </w:pP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(range, if applicable)</w:t>
            </w:r>
          </w:p>
        </w:tc>
        <w:tc>
          <w:tcPr>
            <w:tcW w:w="0" w:type="dxa"/>
            <w:vAlign w:val="bottom"/>
          </w:tcPr>
          <w:p>
            <w:pPr>
              <w:spacing w:after="0"/>
              <w:rPr>
                <w:sz w:val="1"/>
                <w:szCs w:val="1"/>
                <w:color w:val="auto"/>
              </w:rPr>
            </w:pPr>
          </w:p>
        </w:tc>
      </w:tr>
      <w:tr>
        <w:trPr>
          <w:trHeight w:val="171"/>
        </w:trPr>
        <w:tc>
          <w:tcPr>
            <w:tcW w:w="3120" w:type="dxa"/>
            <w:vAlign w:val="bottom"/>
            <w:tcBorders>
              <w:left w:val="single" w:sz="8" w:color="auto"/>
            </w:tcBorders>
          </w:tcPr>
          <w:p>
            <w:pPr>
              <w:spacing w:after="0"/>
              <w:rPr>
                <w:sz w:val="14"/>
                <w:szCs w:val="14"/>
                <w:color w:val="auto"/>
              </w:rPr>
            </w:pPr>
          </w:p>
        </w:tc>
        <w:tc>
          <w:tcPr>
            <w:tcW w:w="2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Probability weighted</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shd w:val="clear" w:color="auto" w:fill="CCEEFF"/>
          </w:tcPr>
          <w:p>
            <w:pPr>
              <w:spacing w:after="0"/>
              <w:rPr>
                <w:sz w:val="14"/>
                <w:szCs w:val="14"/>
                <w:color w:val="auto"/>
              </w:rPr>
            </w:pPr>
          </w:p>
        </w:tc>
        <w:tc>
          <w:tcPr>
            <w:tcW w:w="2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8"/>
        </w:trPr>
        <w:tc>
          <w:tcPr>
            <w:tcW w:w="3120" w:type="dxa"/>
            <w:vAlign w:val="bottom"/>
            <w:tcBorders>
              <w:left w:val="single" w:sz="8" w:color="auto"/>
            </w:tcBorders>
            <w:vMerge w:val="restart"/>
          </w:tcPr>
          <w:p>
            <w:pPr>
              <w:ind w:left="820"/>
              <w:spacing w:after="0"/>
              <w:rPr>
                <w:sz w:val="20"/>
                <w:szCs w:val="20"/>
                <w:color w:val="auto"/>
              </w:rPr>
            </w:pPr>
            <w:r>
              <w:rPr>
                <w:rFonts w:ascii="Times New Roman" w:cs="Times New Roman" w:eastAsia="Times New Roman" w:hAnsi="Times New Roman"/>
                <w:sz w:val="14"/>
                <w:szCs w:val="14"/>
                <w:color w:val="auto"/>
              </w:rPr>
              <w:t>Royalty Right Agreements</w:t>
            </w:r>
          </w:p>
        </w:tc>
        <w:tc>
          <w:tcPr>
            <w:tcW w:w="2960" w:type="dxa"/>
            <w:vAlign w:val="bottom"/>
            <w:gridSpan w:val="2"/>
            <w:vMerge w:val="continue"/>
          </w:tcPr>
          <w:p>
            <w:pPr>
              <w:spacing w:after="0"/>
              <w:rPr>
                <w:sz w:val="11"/>
                <w:szCs w:val="11"/>
                <w:color w:val="auto"/>
              </w:rPr>
            </w:pPr>
          </w:p>
        </w:tc>
        <w:tc>
          <w:tcPr>
            <w:tcW w:w="2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Probability of Success</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16"/>
        </w:trPr>
        <w:tc>
          <w:tcPr>
            <w:tcW w:w="3120" w:type="dxa"/>
            <w:vAlign w:val="bottom"/>
            <w:tcBorders>
              <w:left w:val="single" w:sz="8" w:color="auto"/>
            </w:tcBorders>
            <w:vMerge w:val="continue"/>
          </w:tcPr>
          <w:p>
            <w:pPr>
              <w:spacing w:after="0"/>
              <w:rPr>
                <w:sz w:val="10"/>
                <w:szCs w:val="10"/>
                <w:color w:val="auto"/>
              </w:rPr>
            </w:pPr>
          </w:p>
        </w:tc>
        <w:tc>
          <w:tcPr>
            <w:tcW w:w="2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income approach</w:t>
            </w:r>
          </w:p>
        </w:tc>
        <w:tc>
          <w:tcPr>
            <w:tcW w:w="2740" w:type="dxa"/>
            <w:vAlign w:val="bottom"/>
            <w:gridSpan w:val="2"/>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120" w:type="dxa"/>
            <w:vAlign w:val="bottom"/>
            <w:tcBorders>
              <w:left w:val="single" w:sz="8" w:color="auto"/>
            </w:tcBorders>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2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120" w:type="dxa"/>
            <w:vAlign w:val="bottom"/>
            <w:tcBorders>
              <w:left w:val="single" w:sz="8" w:color="auto"/>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Projected Years of Payments</w:t>
            </w:r>
          </w:p>
        </w:tc>
        <w:tc>
          <w:tcPr>
            <w:tcW w:w="2480" w:type="dxa"/>
            <w:vAlign w:val="bottom"/>
            <w:tcBorders>
              <w:bottom w:val="single" w:sz="8" w:color="auto"/>
              <w:right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2025  -  2033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spacing w:after="0" w:line="51"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excess of future estimated royalty payments of $56,926 over the $13,856 of allocated fair value is recognized as a discount related to the Royalty Right Agreements and is amortized as interest expense using the effective interest method.</w:t>
      </w:r>
    </w:p>
    <w:p>
      <w:pPr>
        <w:spacing w:after="0" w:line="3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At inception, 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spacing w:after="0" w:line="3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Amortization expense arising from the discounts related to the 13.5% Notes for the three and nine months ended September 30, 2024 was $1,254 and $3,765, respectively. Amortization expense arising from the discounts related to the Royalty Right Agreements for the three and nine months ended September 30, 2024 was $1,359 and $4,075, respectively.</w:t>
      </w:r>
    </w:p>
    <w:p>
      <w:pPr>
        <w:spacing w:after="0" w:line="39" w:lineRule="exact"/>
        <w:rPr>
          <w:sz w:val="20"/>
          <w:szCs w:val="20"/>
          <w:color w:val="auto"/>
        </w:rPr>
      </w:pPr>
    </w:p>
    <w:p>
      <w:pPr>
        <w:jc w:val="both"/>
        <w:ind w:right="20" w:firstLine="509"/>
        <w:spacing w:after="0" w:line="263" w:lineRule="auto"/>
        <w:rPr>
          <w:sz w:val="20"/>
          <w:szCs w:val="20"/>
          <w:color w:val="auto"/>
        </w:rPr>
      </w:pPr>
      <w:r>
        <w:rPr>
          <w:rFonts w:ascii="Times New Roman" w:cs="Times New Roman" w:eastAsia="Times New Roman" w:hAnsi="Times New Roman"/>
          <w:sz w:val="14"/>
          <w:szCs w:val="14"/>
          <w:color w:val="auto"/>
        </w:rPr>
        <w:t>Unamortized discounts totaled $13,900 and $17,665 for the 13.5% Notes and $38,091 and $42,165 for the Royalty obligations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Long-term notes and unamortized debt discount balances are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000" w:type="dxa"/>
            <w:vAlign w:val="bottom"/>
            <w:tcBorders>
              <w:bottom w:val="single" w:sz="8" w:color="CCEEFF"/>
            </w:tcBorders>
          </w:tcPr>
          <w:p>
            <w:pPr>
              <w:spacing w:after="0"/>
              <w:rPr>
                <w:sz w:val="16"/>
                <w:szCs w:val="16"/>
                <w:color w:val="auto"/>
              </w:rPr>
            </w:pPr>
          </w:p>
        </w:tc>
        <w:tc>
          <w:tcPr>
            <w:tcW w:w="7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outstanding notes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Unamortized discount, including Exit Fee</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(17,665)</w:t>
            </w:r>
          </w:p>
        </w:tc>
        <w:tc>
          <w:tcPr>
            <w:tcW w:w="0" w:type="dxa"/>
            <w:vAlign w:val="bottom"/>
          </w:tcPr>
          <w:p>
            <w:pPr>
              <w:spacing w:after="0"/>
              <w:rPr>
                <w:sz w:val="1"/>
                <w:szCs w:val="1"/>
                <w:color w:val="auto"/>
              </w:rPr>
            </w:pPr>
          </w:p>
        </w:tc>
      </w:tr>
      <w:tr>
        <w:trPr>
          <w:trHeight w:val="17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27,335</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long-term</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27,508</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000" w:type="dxa"/>
            <w:vAlign w:val="bottom"/>
            <w:tcBorders>
              <w:bottom w:val="single" w:sz="8" w:color="CCEEFF"/>
            </w:tcBorders>
          </w:tcPr>
          <w:p>
            <w:pPr>
              <w:spacing w:after="0"/>
              <w:rPr>
                <w:sz w:val="16"/>
                <w:szCs w:val="16"/>
                <w:color w:val="auto"/>
              </w:rPr>
            </w:pPr>
          </w:p>
        </w:tc>
        <w:tc>
          <w:tcPr>
            <w:tcW w:w="7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obligations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56,926</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Unamortized discount</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(42,165)</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obligations,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current portion of royalty obligations payable is not material as of September 30,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Scheduled principal payments on the 13.5% Notes as of September 30, 2024 are as follows: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81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20,925</w:t>
            </w:r>
          </w:p>
        </w:tc>
        <w:tc>
          <w:tcPr>
            <w:tcW w:w="0" w:type="dxa"/>
            <w:vAlign w:val="bottom"/>
          </w:tcPr>
          <w:p>
            <w:pPr>
              <w:spacing w:after="0"/>
              <w:rPr>
                <w:sz w:val="1"/>
                <w:szCs w:val="1"/>
                <w:color w:val="auto"/>
              </w:rPr>
            </w:pPr>
          </w:p>
        </w:tc>
      </w:tr>
      <w:tr>
        <w:trPr>
          <w:trHeight w:val="17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14.</w:t>
      </w:r>
      <w:r>
        <w:rPr>
          <w:sz w:val="20"/>
          <w:szCs w:val="20"/>
          <w:color w:val="auto"/>
        </w:rPr>
        <w:tab/>
      </w:r>
      <w:r>
        <w:rPr>
          <w:rFonts w:ascii="Times New Roman" w:cs="Times New Roman" w:eastAsia="Times New Roman" w:hAnsi="Times New Roman"/>
          <w:sz w:val="13"/>
          <w:szCs w:val="13"/>
          <w:b w:val="1"/>
          <w:bCs w:val="1"/>
          <w:color w:val="auto"/>
        </w:rPr>
        <w:t>Warrants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Issued to 12.5% Senior Secured Noteholders</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Warrants that were issued in conjunction with the Initial Notes (the “Initial Warrants”) and Additional Notes (the “Additional Warrants”) expire on June 30, 2025 and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Balance Sheets. There were no warrants exercised as it relates to the Initial Warrants and the Additional Warrants during the nine months ended September 30, 2024 and 2023, respectively. Warrants to purchase a total of 1,714,429 shares of Common Stock with exercise prices of $4.25 and $5.38 for 1,571,429 warrants and 143,000 warrants, respectively, remain outstanding as of September 30, 2024 and December 31, 2023. See Note 13, </w:t>
      </w:r>
      <w:r>
        <w:rPr>
          <w:rFonts w:ascii="Times New Roman" w:cs="Times New Roman" w:eastAsia="Times New Roman" w:hAnsi="Times New Roman"/>
          <w:sz w:val="14"/>
          <w:szCs w:val="14"/>
          <w:i w:val="1"/>
          <w:iCs w:val="1"/>
          <w:color w:val="auto"/>
        </w:rPr>
        <w:t>Long-Term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Issued Under Securities Purchase Agreements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Balance Sheets. On June 14, 2023, 3,689,452 Common Stock warrants issued pursuant to the Securities Purchase Agreements were exercised with proceeds of approximately $3,542.</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August 1, 2023, the Company entered into the Letter Agreement with the Exercising Holder of 5,000,000 of the remaining Common Stock Warrants. Pursuant to the Letter Agreement, the Exercising Holder and the Company agreed that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became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w:t>
      </w:r>
    </w:p>
    <w:p>
      <w:pPr>
        <w:spacing w:after="0" w:line="23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net proceeds of approximately $8,307 were exercised during the year ended December 31, 2023. The Company incurred $35 in relation to this transaction.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warrants issued or exercised as it relates to the Warrants Issued Under Securities Purchase Agreements during the nine months ended September 30, 2024.</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warrants to purchase 2,750,000 shares of Common Stock described above, there remain outstanding warrants to purchase 160,548 shares of Common Stock at an exercise price of $0.96 and warrants to purchase 1,714,429 shares of Common Stock outstanding related to the original issuance of the 12.5% Notes prior to the debt refinancing described above in this Note 14, with exercise prices of $4.25 and $5.38 for 1,571,429 warrants and 143,000 warrants, respectively.</w:t>
      </w:r>
    </w:p>
    <w:p>
      <w:pPr>
        <w:spacing w:after="0" w:line="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15.</w:t>
        <w:tab/>
        <w:t>Sale of Future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September 30, 2024 under the Monetization Agreement.</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Under the Monetization Agreement, additional contingent payments of up to $75,000 may be due to the Company upon the achievement of worldwide royalty and other commercial targets within a specified timeframe, which could result in total potential proceeds of $125,000.</w:t>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spacing w:after="0" w:line="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 w:cs="Times New Roman" w:eastAsia="Times New Roman" w:hAnsi="Times New Roman"/>
          <w:sz w:val="14"/>
          <w:szCs w:val="14"/>
          <w:i w:val="1"/>
          <w:iCs w:val="1"/>
          <w:color w:val="auto"/>
        </w:rPr>
        <w:t>Transfer and Servicing</w:t>
      </w:r>
      <w:r>
        <w:rPr>
          <w:rFonts w:ascii="Times New Roman" w:cs="Times New Roman" w:eastAsia="Times New Roman" w:hAnsi="Times New Roman"/>
          <w:sz w:val="14"/>
          <w:szCs w:val="14"/>
          <w:color w:val="auto"/>
        </w:rPr>
        <w:t xml:space="preserve"> to determine whether the existing receivable was transferred to Marathon and concluded that the receivable was not transferred.</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assesses the estimated royalty and milestone payments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shows the activity of the liability related to the sale of future revenue:</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81"/>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 the sale of future revenue, net at beginning of the period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65,259</w:t>
            </w: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Royalties related to the sale of future revenue</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related to the sale of future revenue, net at end of the period (includes current portion of $1,000 and $922, respectively)</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64,490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16.</w:t>
        <w:tab/>
        <w:t>Net (Loss) Earnings Per Share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net (loss) earnings per share is calculated by dividing net (loss) income by the weighted-average number of common shares.</w:t>
      </w:r>
    </w:p>
    <w:p>
      <w:pPr>
        <w:spacing w:after="0" w:line="9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following table reconciles the basic to diluted weighted average shares outstanding for the three and nine months ended September 30, 2024 and 2023. Diluted EPS is adjusted by the effect of dilutive securities, including options and awards under the Company’s equity compensation plans, warrants and ESPP. As a result of the Company’s net loss incurred for the three months ended September 30, 2024 and 2023, and for the nine months ended September 30, 2024. all potentially dilutive instruments outstanding would have anti-dilutive effects on per-share calculations. Therefore, basic and diluted net loss per share are the same for the three months ended September 30, 2024 and 2023 and the nine months ended September 30, 2024 as reflected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 basic</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91,082,081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64,678,761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85,224,263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59,252,768</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stock options </w:t>
            </w:r>
            <w:r>
              <w:rPr>
                <w:rFonts w:ascii="Times New Roman" w:cs="Times New Roman" w:eastAsia="Times New Roman" w:hAnsi="Times New Roman"/>
                <w:sz w:val="18"/>
                <w:szCs w:val="18"/>
                <w:color w:val="auto"/>
                <w:vertAlign w:val="superscript"/>
              </w:rPr>
              <w:t>(a)</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57,471</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restricted stock units </w:t>
            </w:r>
            <w:r>
              <w:rPr>
                <w:rFonts w:ascii="Times New Roman" w:cs="Times New Roman" w:eastAsia="Times New Roman" w:hAnsi="Times New Roman"/>
                <w:sz w:val="18"/>
                <w:szCs w:val="18"/>
                <w:color w:val="auto"/>
                <w:vertAlign w:val="superscript"/>
              </w:rPr>
              <w:t>(b)</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654,682</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warrants </w:t>
            </w:r>
            <w:r>
              <w:rPr>
                <w:rFonts w:ascii="Times New Roman" w:cs="Times New Roman" w:eastAsia="Times New Roman" w:hAnsi="Times New Roman"/>
                <w:sz w:val="18"/>
                <w:szCs w:val="18"/>
                <w:color w:val="auto"/>
                <w:vertAlign w:val="superscript"/>
              </w:rPr>
              <w:t>(c)</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1,547,751</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Employee Stock Purchase Plan </w:t>
            </w:r>
            <w:r>
              <w:rPr>
                <w:rFonts w:ascii="Times New Roman" w:cs="Times New Roman" w:eastAsia="Times New Roman" w:hAnsi="Times New Roman"/>
                <w:sz w:val="18"/>
                <w:szCs w:val="18"/>
                <w:color w:val="auto"/>
                <w:vertAlign w:val="superscript"/>
              </w:rPr>
              <w:t>(d)</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 diluted</w:t>
            </w: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91,082,081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64,678,761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85,224,263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61,513,736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Earnings per share attributable to common stockholders:</w:t>
            </w: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2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Earnings per common share – basic</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per common share – diluted</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49"/>
        </w:trPr>
        <w:tc>
          <w:tcPr>
            <w:tcW w:w="4720" w:type="dxa"/>
            <w:vAlign w:val="bottom"/>
          </w:tcPr>
          <w:p>
            <w:pPr>
              <w:spacing w:after="0"/>
              <w:rPr>
                <w:sz w:val="24"/>
                <w:szCs w:val="24"/>
                <w:color w:val="auto"/>
              </w:rPr>
            </w:pPr>
          </w:p>
        </w:tc>
        <w:tc>
          <w:tcPr>
            <w:tcW w:w="15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both"/>
        <w:ind w:left="260" w:hanging="255"/>
        <w:spacing w:after="0" w:line="268" w:lineRule="auto"/>
        <w:tabs>
          <w:tab w:leader="none" w:pos="25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September 30, 2024 and 2023, outstanding stock options to purchase 6,301,364 and 5,912,647 shares of Common Stock, respectively, were anti-dilutive and excluded from the computation of diluted EPS. For the nine months ended September 30, 2024 and 2023, outstanding stock options to purchase 6,301,364 and 5,339,130 shares of Common Stock, respectively, were anti-dilutive and excluded from the computation of diluted EPS.</w:t>
      </w:r>
    </w:p>
    <w:p>
      <w:pPr>
        <w:spacing w:after="0" w:line="61" w:lineRule="exact"/>
        <w:rPr>
          <w:rFonts w:ascii="Times New Roman" w:cs="Times New Roman" w:eastAsia="Times New Roman" w:hAnsi="Times New Roman"/>
          <w:sz w:val="13"/>
          <w:szCs w:val="13"/>
          <w:color w:val="auto"/>
        </w:rPr>
      </w:pPr>
    </w:p>
    <w:p>
      <w:pPr>
        <w:jc w:val="both"/>
        <w:ind w:left="260" w:hanging="255"/>
        <w:spacing w:after="0" w:line="259" w:lineRule="auto"/>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September 30, 2024 and 2023, outstanding restricted stock units of 3,910,376 and 3,280,313 shares of Common Stock, respectively, were anti-dilutive and excluded from the computation of diluted EPS. For the nine months ended September 30, 2024 and 2023, outstanding restricted stock units of 3,910,376 and 605,650. shares of Common Stock, respectively, were anti-dilutive and excluded from the computation of diluted EPS.</w:t>
      </w:r>
    </w:p>
    <w:p>
      <w:pPr>
        <w:spacing w:after="0" w:line="57" w:lineRule="exact"/>
        <w:rPr>
          <w:rFonts w:ascii="Times New Roman" w:cs="Times New Roman" w:eastAsia="Times New Roman" w:hAnsi="Times New Roman"/>
          <w:sz w:val="13"/>
          <w:szCs w:val="13"/>
          <w:color w:val="auto"/>
        </w:rPr>
      </w:pPr>
    </w:p>
    <w:p>
      <w:pPr>
        <w:jc w:val="both"/>
        <w:ind w:left="260" w:hanging="255"/>
        <w:spacing w:after="0" w:line="259" w:lineRule="auto"/>
        <w:tabs>
          <w:tab w:leader="none" w:pos="25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September 30, 2024 and 2023, outstanding warrants to purchase 4,624,977 and 4,464,429 shares of Common Stock, respectively, were anti-dilutive and excluded from the computation of diluted EPS. For the nine months ended September 30, 2024 and 2023, outstanding warrants to purchase 4,624,977 and 4,464,429 shares of Common Stock, respectively, were anti-dilutive and excluded from the computation of diluted EPS.</w:t>
      </w:r>
    </w:p>
    <w:p>
      <w:pPr>
        <w:spacing w:after="0" w:line="57"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and nine months ended September 30, 2024 and the three months ended September 30, 2023, the estimated effects of ESPP awards were not material.</w:t>
      </w:r>
    </w:p>
    <w:p>
      <w:pPr>
        <w:spacing w:after="0" w:line="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17.</w:t>
        <w:tab/>
        <w:t>Share-Based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share-based compensation in its unaudited Condensed Statements of Operations and Comprehensive (Loss) Income during 2024 and 2023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1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73"/>
        </w:trPr>
        <w:tc>
          <w:tcPr>
            <w:tcW w:w="6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 expenses</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3"/>
        </w:trPr>
        <w:tc>
          <w:tcPr>
            <w:tcW w:w="6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from:</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(ESPP)</w:t>
            </w:r>
          </w:p>
        </w:tc>
        <w:tc>
          <w:tcPr>
            <w:tcW w:w="7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 expenses</w:t>
            </w:r>
          </w:p>
        </w:tc>
        <w:tc>
          <w:tcPr>
            <w:tcW w:w="7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r>
      <w:tr>
        <w:trPr>
          <w:trHeight w:val="20"/>
        </w:trPr>
        <w:tc>
          <w:tcPr>
            <w:tcW w:w="6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 Equity Awards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provide information about the Company’s restricted stock unit and stock option activity during the nine month period ended September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09"/>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Restricted Stock Unit Awards (RSUs) - Service-based:</w:t>
            </w: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Expected to vest as of September 30,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120" w:type="dxa"/>
            <w:vAlign w:val="bottom"/>
            <w:gridSpan w:val="2"/>
            <w:vMerge w:val="continue"/>
          </w:tcPr>
          <w:p>
            <w:pPr>
              <w:spacing w:after="0"/>
              <w:rPr>
                <w:sz w:val="12"/>
                <w:szCs w:val="12"/>
                <w:color w:val="auto"/>
              </w:rPr>
            </w:pPr>
          </w:p>
        </w:tc>
        <w:tc>
          <w:tcPr>
            <w:tcW w:w="1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2,539</w:t>
            </w:r>
          </w:p>
        </w:tc>
        <w:tc>
          <w:tcPr>
            <w:tcW w:w="28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2024, $6,677 of total unrecognized compensation expenses related to unvested service-based restricted stock units are expected to be recognized over a remaining weighted average period of 1.96 years. The service-based restricted stock units granted to employees are subject to a three-year graduated vesting schedule and are not subject to performance-based criteria other than continued employment.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8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6"/>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3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Restricted Stock Unit Awards (RSUs) - Market conditions vesting-based:</w:t>
            </w: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29"/>
              <w:spacing w:after="0" w:line="144"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gridSpan w:val="3"/>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Unvested as of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to vest as of September 30,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$1,451 of unrecognized compensation expense related to unvested market condition vesting- based restricted stock units are expected to be recognized over a remaining weighted average period of 1.59 years.</w:t>
      </w:r>
    </w:p>
    <w:p>
      <w:pPr>
        <w:spacing w:after="0" w:line="3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2022 Inducement Equity Incentive Plan</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NASDAQ Listing Rule 5635(c)(4), the Company adopted the 2022 Equity Inducement Plan approved by the Compensation Committee of the Board of Directors of the Company effective as of July 29, 2022. There were no awards outstanding under this Plan as of September 30,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1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Stock Option Awards:</w:t>
            </w:r>
          </w:p>
        </w:tc>
        <w:tc>
          <w:tcPr>
            <w:tcW w:w="3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Forfeited/Expired</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September 30, 2024</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Expected to vest as of September 30, 2024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6,210</w:t>
            </w:r>
          </w:p>
        </w:tc>
        <w:tc>
          <w:tcPr>
            <w:tcW w:w="9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as of September 30, 2024</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318"/>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fair values of stock options granted were estimated using the Black-Scholes pricing model based on the following assumptions: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7"/>
              </w:rPr>
              <w:t>104%</w:t>
            </w:r>
          </w:p>
        </w:tc>
        <w:tc>
          <w:tcPr>
            <w:tcW w:w="400" w:type="dxa"/>
            <w:vAlign w:val="bottom"/>
          </w:tcPr>
          <w:p>
            <w:pPr>
              <w:spacing w:after="0"/>
              <w:rPr>
                <w:sz w:val="15"/>
                <w:szCs w:val="15"/>
                <w:color w:val="auto"/>
              </w:rPr>
            </w:pPr>
          </w:p>
        </w:tc>
        <w:tc>
          <w:tcPr>
            <w:tcW w:w="900" w:type="dxa"/>
            <w:vAlign w:val="bottom"/>
            <w:gridSpan w:val="2"/>
          </w:tcPr>
          <w:p>
            <w:pPr>
              <w:jc w:val="center"/>
              <w:ind w:right="349"/>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7"/>
              </w:rPr>
              <w:t>107%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120" w:type="dxa"/>
            <w:vAlign w:val="bottom"/>
            <w:gridSpan w:val="2"/>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5.5</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349"/>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gridSpan w:val="2"/>
          </w:tcPr>
          <w:p>
            <w:pPr>
              <w:jc w:val="center"/>
              <w:ind w:left="629"/>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16"/>
                <w:szCs w:val="16"/>
                <w:color w:val="auto"/>
              </w:rPr>
            </w:pPr>
          </w:p>
        </w:tc>
        <w:tc>
          <w:tcPr>
            <w:tcW w:w="900" w:type="dxa"/>
            <w:vAlign w:val="bottom"/>
            <w:gridSpan w:val="2"/>
          </w:tcPr>
          <w:p>
            <w:pPr>
              <w:jc w:val="center"/>
              <w:ind w:right="349"/>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granted during the nine months ended September 30, 2024 was $3.98. During the nine months ended September 30, 2024, stock options were granted with a weighted average exercise price of $4.83 and accordingly, given the Company’s share price of $4.98 at September 30, 2024, the intrinsic value provided by certain shares granted during this period was de minimis.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2024, $3,559 of unrecognized compensation expense related to non-vested stock options is expected to be recognized over a remaining weighted average period of 1.56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years.</w:t>
      </w:r>
    </w:p>
    <w:p>
      <w:pPr>
        <w:spacing w:after="0" w:line="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18.</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5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The Company’s tax provision for interim periods is determined using an estimate of its annual effective tax rate, adjusted for discrete items. For the three and nine months ended September 30, 2024, the effective income tax rate was 0%, and the Company recorded no income tax expense from its pretax losses of $11,509 and $27,082, respectively. For the three and nine months ended September 30, 2023, the effective income tax rate was 6.4% and 37.4%, respectively, and the Company recorded ($140) and $144 from its pretax (loss) income of ($2,175) and $385, respectively.</w:t>
      </w:r>
    </w:p>
    <w:p>
      <w:pPr>
        <w:spacing w:after="0" w:line="2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primary factors impacting the effective tax rate for nine months ended September 30, 2024 is the anticipated full year pre-tax book loss and a full valuation allowance against any associated net deferred tax assets.</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19.</w:t>
        <w:tab/>
        <w:t>Contingencies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Kentucky Litigation - Humana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Humana Inc. v. Indivior Inc, Indivior Solutions Inc., Indivior PLC, Reckitt Benckiser Group plc, Reckitt Benckiser Healthcare (UK) Ltd., and Aquestive Therapeutics, Inc.</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On February 23, 2024, the Company filed a motion to dismiss the Complaint. Oral argument on the Company's motion to dismiss is currently set for December 9, 2024. No discovery schedule has been set in the action and there is no trial date set in this case. The Company is not able to determine or predict the ultimate outcome of the state court action in Kentucky by Humana or provide a reasonable estimate or range of estimates of the possible outcome or loss, if any, in this matter.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California Litigation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Neurelis, Inc. v. Aquestive Therapeutics, Inc</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On December 5, 2019, Neurelis Inc.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Trial in this matter is scheduled for March 7, 2025. The Company is not able to determine or predict the ultimate outcome of this proceeding or provide a reasonable estimate or range of estimates of the possible outcome or loss, if any, in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Neurelis FDA Lawsuit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Neurelis v. Califf,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et al</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U.S. District court for the District of Columbia</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May 2024, Neurelis Inc.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Aquestive’s New Drug Application for Libervant™ for epilepsy patients aged between two and five years, and asks the Court to vacate that approval and enjoin the defendants from approving Libervant™ for this pediatric patient population until January 10, 2027, the scheduled date for the expiration of the orphan drug market exclusivity granted to the nasal spray product of Neurelis, Inc. by the FDA. Aquestive intervened in the litigation to defend the approval of Libervant™ for this pediatric patient population and on June 25, 2024, the Court entered a scheduling order governing further proceedings in the case. Pursuant to that order, Neurelis filed a motion for summary judgment on August 19, 2024; Aquestive and the federal defendants each filed their own cross-motions for summary judgment and opposed Neurelis’s motion for summary judgment on September 18, 2024; Neurelis filed its combined reply brief in support of its motion for summary judgment and in opposition to the defendants’ cross-motions on October 9, 2024; and Aquestive and the federal defendants filed their closing briefs on October 30, 2024. No oral argument date has been set in this case. The Company is not able to determine or predict the ultimate outcome of this proceeding or provide a reasonable estimate or range of estimates of the possible outcome or loss, if any, in this matter.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Suboxone Product Liability Litigation</w:t>
      </w:r>
    </w:p>
    <w:p>
      <w:pPr>
        <w:spacing w:after="0" w:line="85"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4"/>
          <w:szCs w:val="14"/>
          <w:color w:val="auto"/>
        </w:rPr>
        <w:t>As of October 21, 2024, the Company was named as a defendant in over 560 product liability lawsuits, along with Indivior and several other named defendants, in which the individual plaintiffs in those cases allege that their use of Suboxone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Sublingual Film, a prescription drug product for opioid use disorder, caused them dental injuries. On February 2, 2024, this litigation became a Multidistrict Litigation (“MDL") consolidated in the United States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No discovery schedule or trial date has been set in the MDL matter. The Company is not able to determine or predict the ultimate outcome of this litigation or provide a reasonable estimate or range of estimates of the possible outcome or loss, if any, in this matter</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As of October 15, 2024, 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(date to be set). The authorization and certification hearings are where the Courts will determine if the cases will proceed as class actions. No discovery schedule or trial dates have been set, as all the Canadian cases are pre-certification/pre-authorization. Given the early stages of these proceedings, the Company is not able to determine or predict the ultimate outcome of this litigation or provide a reasonable estimate or range of estimates of the possible outcome or loss, if any, in this matter.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You should read this section in conjunction with our unaudited condensed interim financial statements and related notes included in Part I Item 1 of this Quarterly Report on Form 10-Q and our audited financial statements and related notes thereto and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discussion and analysis of financial condition and results of operations for the years ended December 31, 2023 and 2022 included in our 2023 Annual Report on Form 10-K. All dollar amounts are stated in thousands except for share data.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regarding the advancement and related timing of our product candidate Anaphylm™ (epinephrine) Sublingual Film through clinical development and approval by the U.S. Food and Drug Administration (FDA), including the timing of submission of supporting and pediatric clinical studies, holding a pre-New Drug Application (NDA) meeting with the FDA and filing the NDA for Anaphylm with the FDA, and the following launch of Anaphylm, if approved by the FDA; that the results of the Company’s clinical studies for Anaphylm are sufficient to support submission of the NDA for approval of Anaphylm by the FDA; that Anaphylm will be the first and only oral administration of epinephrine and accepted as an alternative to existing standards of care, if Anaphylm is approved by the FDA; the expected growth of the U.S. epinephrine market including in value and the opportunity such growth presents to the Company should Anaphylm be approved by the FDA; the advancement and related timing of our Adrenaverse pipeline epinephrine prodrug product candidates, including AQST-108, through clinical development and FDA regulatory approval process, including holding a pre-IND meeting with the FDA for AQST-108 and the following launch of AQST-108, if approved by the FDA; the potential sale or outlicensing of Anaphylm, Libervant or other product candidates; the advancement and related timing of our product candidate Libervant® (diazepam) Buccal Film for the indicated epilepsy patient population aged between six and eleven years through clinical development and FDA regulatory approval and the following launch of Libervant for this patient population if approved by the FDA; the approval for U.S. market access of Libervant for this patient population aged six years and older and overcoming the orphan drug market exclusivity of an FDA approved nasal spray product of another company extending to January 2027 for Libervant for these epilepsy patients six years of age and older; the advancement, growth and related timing of our Adrenaverse™ pipeline of epinephrine prodrug product candidates, including AQST-108 (epinephrine) Topical Gel, through clinical development including design and timing of clinical studies including those necessary to support the targeted indication of alopecia areata for AQST-108, and holding a pre-investigational new drug application meeting (IND) with the FDA, and the following launch of AQST-108, if approved by the FDA; the commercial opportunity of Libervant, Anaphylm, AQST-108 and our other product candidates, including potential revenues (including projected peak annual sales) generated from commercialization of these products and product candidates should these product candidates be approved by the FDA; the potential growth of our patent portfolio including the extension of patent protection for Anaphylm should the pending patents be approved by the U.S. Patent and Trademark Office (PTO); the potential benefits our products and product candidates could bring to patients; our cash and financial position, including with respect to our 2024 financial outlook; and business strategies, market opportunities, and other statements that are not historical facts.</w:t>
      </w:r>
    </w:p>
    <w:p>
      <w:pPr>
        <w:spacing w:after="0" w:line="5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(including for pediatric patients), AQST-108, and the Company's other product candidates; risks associated with the Company’s distribution work for Libervant, including any delays or changes to the timing, cost and success of Company's distribution activities and expansion of market access to patients aged two to five for Libervant; risk of delays in advancement of the regulatory approval process through the FDA of our product candidates, including the filing of the respective NDAs, including for Anaphylm, AQST-108, Libervant for patients aged between six and eleven and other product candidates, or failure to receive FDA approval at all of any of these product candidates; risk of the Company’s ability to generate sufficient clinical data for approval of our product candidates, including with respect to our PK/PD comparability submission for FDA approval of Anaphylm; risk of the Company’s ability to address the FDA’s comments on the Company’s future clinical trials and other concerns identified in the FDA Type C meeting minutes for Anaphylm, including the risk that the FDA may require additional clinical studies for approval of Anaphylm; risk of the success of any competing products; risk that we may not overcome the seven year orphan drug market exclusivity granted by the FDA for the approved nasal spray product of another company in the U.S. in order for Libervant to be granted U.S. market access for patients aged six years and older until the expiration of the orphan drug market exclusivity period of the nasal spray product due to expire in January 2027, or for other reasons; risk of loss of U.S. market approval of Libervant for patients aged between two and five resulting from a legal challenge relating to U.S. orphan drug market exclusivity by the owner of the approved nasal spray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160" w:lineRule="exact"/>
        <w:rPr>
          <w:sz w:val="20"/>
          <w:szCs w:val="20"/>
          <w:color w:val="auto"/>
        </w:rPr>
      </w:pPr>
      <w:r>
        <w:rPr>
          <w:rFonts w:ascii="Times New Roman" w:cs="Times New Roman" w:eastAsia="Times New Roman" w:hAnsi="Times New Roman"/>
          <w:sz w:val="14"/>
          <w:szCs w:val="14"/>
          <w:color w:val="auto"/>
        </w:rPr>
        <w:t>product with respect to the FDA’s approval for U.S. market access of Libervant for this pediatric patient population, or for other reasons; risks and uncertainties inherent in commercializing a new product (including technology risks, financial risks, market risks and implementation risks and regulatory limitations); risk of development of a sales and marketing capability for commercialization of our product Libervant and other product candidates, including Anaphylm and AQST-108; the potential impact on the value of the Company of the sale or outlicensing of our product and product candidates, including Libervant and Anaphylm and other product candidates; risk of sufficient capital and cash resources, including sufficient access to available debt and equity financing, including under our ATM facility, and revenues from operations, to satisfy all of our short-term and longer-term liquidity and cash requirements and other cash needs, at the times and in the amounts needed, including to fund commercialization activities relating to Libervant for patients between two and five years of age and to fund future clinical development and commercial activities for our product candidates, including Anaphylm, AQST-108 and Libervant for patients aged between six and eleven, should these product candidates be approved by the FDA, and for Libervant patients of six years and older upon expiration of the orphan drug marketing exclusivity period of the nasal spray product; risk that our manufacturing capabilities will be sufficient to support demand for Libervant for patients between two and five years of age and for older patients, should Libervant receive U.S. market access for these older patients, and for demand for our licensed products in the U.S. and abroad; risk of eroding market share for Suboxone® and risk as a sunsetting product, which accounts for the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Libervant for epilepsy patients between two and five years of age, and for older epilepsy patients if approved for U.S. market access and after the expiration of the orphan drug market exclusivity period in January 2027; risk of the rate and degree of market acceptance in the U.S. and abroad of Libervant and Anaphylm, AQST-108 and our other product candidates, should these product candidates be approved by the FDA, and for our licensed products in the U.S. and abroad; risk of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PTO;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Aquestive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rising interest rates; risks related to the impact of the COVID-19 global pandemic and other pandemic diseases on our business, including with respect to our clinical trials and the site initiation, patient enrollment and timing and adequacy of those clinical trials, regulatory submissions and regulatory reviews and approvals of our product candidates, availability of pharmaceutical ingredients and other raw materials used in our products and product candidates, supply chain, manufacture and distribution of our products and product candidates; risks and uncertainties related to general economic, political (including the Ukraine and Israel wars and other acts of war and terrorism), business, industry, regulatory, financial and market conditions and other unusual items;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2023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our other Quarterly Reports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w:t>
      </w:r>
    </w:p>
    <w:p>
      <w:pPr>
        <w:spacing w:after="0" w:line="164" w:lineRule="exact"/>
        <w:rPr>
          <w:sz w:val="20"/>
          <w:szCs w:val="20"/>
          <w:color w:val="auto"/>
        </w:rPr>
      </w:pPr>
    </w:p>
    <w:p>
      <w:pPr>
        <w:ind w:right="540" w:firstLine="509"/>
        <w:spacing w:after="0" w:line="347" w:lineRule="auto"/>
        <w:rPr>
          <w:sz w:val="20"/>
          <w:szCs w:val="20"/>
          <w:color w:val="auto"/>
        </w:rPr>
      </w:pPr>
      <w:r>
        <w:rPr>
          <w:rFonts w:ascii="Times New Roman" w:cs="Times New Roman" w:eastAsia="Times New Roman" w:hAnsi="Times New Roman"/>
          <w:sz w:val="14"/>
          <w:szCs w:val="14"/>
          <w:color w:val="auto"/>
        </w:rPr>
        <w:t xml:space="preserve">Unless the context requires otherwise, references in this Quarterly Report on Form 10-Q to “Aquestive,” the "Company,” “we,” “us,” and “our” refer to Aquestive Therapeutics, Inc. </w:t>
      </w:r>
      <w:r>
        <w:rPr>
          <w:rFonts w:ascii="Times New Roman" w:cs="Times New Roman" w:eastAsia="Times New Roman" w:hAnsi="Times New Roman"/>
          <w:sz w:val="14"/>
          <w:szCs w:val="14"/>
          <w:b w:val="1"/>
          <w:bCs w:val="1"/>
          <w:color w:val="auto"/>
        </w:rPr>
        <w:t>Overview</w:t>
      </w:r>
    </w:p>
    <w:p>
      <w:pPr>
        <w:spacing w:after="0" w:line="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a proprietary commercial product, Libervant® (diazepam) Buccal Film for the acute treatment of intermittent, stereotypic episodes of frequent seizure activity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seizure clusters, acute repetitive seizures) that are distinct from a patient’s usual seizure pattern in patients with epilepsy between two and five years of age, which was launched in April 2024. We are advancing a product pipeline for the treatment of severe allergic reactions, including anaphylaxis, under the trade name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"Anaphylm™", and our Adrenaverse epinephrine prodrug pipeline platform. We have five licensed commercial products that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Our production facilities are located in Portage, Indiana, and our corporate headquarters and primary research laboratory facilities are based in Warren, New Jersey.</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manufacture licensed products at our facilities and anticipate that our current manufacturing capacity is sufficient for commercial quantities of our licensed products, proprietary product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Complex Molecule Portfolio</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spacing w:after="0" w:line="37" w:lineRule="exact"/>
        <w:rPr>
          <w:sz w:val="20"/>
          <w:szCs w:val="20"/>
          <w:color w:val="auto"/>
        </w:rPr>
      </w:pPr>
    </w:p>
    <w:p>
      <w:pPr>
        <w:jc w:val="both"/>
        <w:ind w:left="520" w:hanging="260"/>
        <w:spacing w:after="0" w:line="24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Anaphylm™ </w:t>
      </w:r>
      <w:r>
        <w:rPr>
          <w:rFonts w:ascii="Times New Roman" w:cs="Times New Roman" w:eastAsia="Times New Roman" w:hAnsi="Times New Roman"/>
          <w:sz w:val="14"/>
          <w:szCs w:val="14"/>
          <w:color w:val="auto"/>
        </w:rPr>
        <w:t>(epinephrine) Sublingual Film – the first and only non-device based, orally delivered epinephrine product candidate that has shown clinical results comparable to auto-injectors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as EpiPen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Auvi-Q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for the emergency treatment of allergic reactions, including anaphylaxis. Epinephrine is the standard of care in the treatment of anaphylaxis and is typically administered via intramuscular injection (IM) including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68"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conditionally accepted the proprietary name Anaphylm™ (pronounced “ana-film”) as the proposed brand name for Anaphylm. Final approval of the Anaphylm proprietary name is conditioned on FDA approval of Anaphylm, if any.</w:t>
      </w:r>
    </w:p>
    <w:p>
      <w:pPr>
        <w:spacing w:after="0" w:line="39"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2022, following a Phase 1 clinical study conducted by the Company,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spacing w:after="0" w:line="39" w:lineRule="exact"/>
        <w:rPr>
          <w:rFonts w:ascii="Times New Roman" w:cs="Times New Roman" w:eastAsia="Times New Roman" w:hAnsi="Times New Roman"/>
          <w:sz w:val="14"/>
          <w:szCs w:val="14"/>
          <w:color w:val="auto"/>
        </w:rPr>
      </w:pPr>
    </w:p>
    <w:p>
      <w:pPr>
        <w:jc w:val="both"/>
        <w:ind w:lef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manual intramuscular (IM) injectors. These studies demonstrated that treatment with Anaphylm was well tolerated, with no serious adverse events, significant medical events, or treatment-related severe adverse events reported. The data from these clinical studies formed the basis for the End-of-Phase 2 (EoP2) meeting with the FDA in December of 2022, which provided clarity as to the FDA’s expectations regarding key clinical program areas for design of revised dosing instructions expected for use in our pivotal clinical trial.</w:t>
      </w:r>
    </w:p>
    <w:p>
      <w:pPr>
        <w:spacing w:after="0" w:line="58" w:lineRule="exact"/>
        <w:rPr>
          <w:rFonts w:ascii="Times New Roman" w:cs="Times New Roman" w:eastAsia="Times New Roman" w:hAnsi="Times New Roman"/>
          <w:sz w:val="14"/>
          <w:szCs w:val="14"/>
          <w:color w:val="auto"/>
        </w:rPr>
      </w:pPr>
    </w:p>
    <w:p>
      <w:pPr>
        <w:jc w:val="both"/>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fourth quarter of 2023, we received comments from the FDA on its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Q4 2023.</w:t>
      </w:r>
    </w:p>
    <w:p>
      <w:pPr>
        <w:spacing w:after="0" w:line="50" w:lineRule="exact"/>
        <w:rPr>
          <w:rFonts w:ascii="Times New Roman" w:cs="Times New Roman" w:eastAsia="Times New Roman" w:hAnsi="Times New Roman"/>
          <w:sz w:val="14"/>
          <w:szCs w:val="14"/>
          <w:color w:val="auto"/>
        </w:rPr>
      </w:pPr>
    </w:p>
    <w:p>
      <w:pPr>
        <w:jc w:val="both"/>
        <w:ind w:left="52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we successfully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judgement on the sufficiency of the Anaphylm clinical development program until completion of ongoing and planned studies,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results of which are expected to be presented at a pre-NDA meeting with the FDA, which is scheduled for the fourth quarter of 2024.</w:t>
      </w:r>
    </w:p>
    <w:p>
      <w:pPr>
        <w:spacing w:after="0" w:line="9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4"/>
          <w:szCs w:val="14"/>
          <w:color w:val="auto"/>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of epinephrine PK biocomparability of the single administration of Anaphylm to the single administration of Adrenalin (epinephrine IM injection) and autoinjectors in healthy adult subjects was met, as well as the secondary endpoints which included evaluating the PK sustainability of Anaphylm following repeat administration and the safety and tolerability of Anaphylm following single and repeat administrations versus epinephrine IM injection and epinephrine autoinjectors.</w:t>
      </w:r>
    </w:p>
    <w:p>
      <w:pPr>
        <w:spacing w:after="0" w:line="54"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4"/>
          <w:szCs w:val="14"/>
          <w:color w:val="auto"/>
        </w:rPr>
        <w:t>n June 2024, we reported positive topline PK data from the temperature / pH study of Anaphylm™. The single-dose, five-period, randomized crossover study was designed to compare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PK and PD of Anaphylm just after consuming normal water at different temperatures (hot, cold, and room temperature) as well as water of different pHs (acidic- lemon water, and basic-baking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spacing w:after="0" w:line="6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4"/>
          <w:szCs w:val="14"/>
          <w:color w:val="auto"/>
        </w:rPr>
        <w:t>In July 2024, we reported positive topline data from the self-administration PK study of Anaphylm. The single-dose, three-period, randomized crossover study was designed to compare the PK and PD of Anaphylm self-administered, Anaphylm healthcare provider (HCP)-administered, and Adrenalin manual intramuscular (IM) injection HCP- administered. The primary PK parameters were the maximum amount of epinephrine measured in plasma (Cmax) and exposure, or the area under the curve (AUC), at predefined time points after dosing in 36 healthy adult subjects. The median time to maximum concentration (Tmax) was 15 minutes for both the Anaphylm self-administered and HCP-administered arms, while the median Tmax for the Adrenalin IM HCP administered arm was 50 minutes post 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is self-administered or HCP-administered.</w:t>
      </w:r>
    </w:p>
    <w:p>
      <w:pPr>
        <w:spacing w:after="0" w:line="6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4"/>
          <w:szCs w:val="14"/>
          <w:color w:val="auto"/>
        </w:rPr>
        <w:t>In October 2024, we reported positive topline data from the oral allergy syndrome challenge study (now referred to as the "OASIS" study), meeting both primary and secondary endpoints. The two-part study demonstrated that Anaphylm maintained its PK and PD profile during allergen-induced oral physiological changes. In addition, following allergen exposure where 94% of subjects exhibited moderate to severe symptoms per the pre-defined oral severity score, rapid symptom resolution was observed beginning as early as two minutes post-administration. The median time to complete symptom resolution was twelve minutes compared to seventy-four minutes at screening baseline, with 50% of all symptoms across all subjects resolving by five minutes. The mean time of symptom resolution for edema, which affected approximately twenty-five percent of subjects, was five minutes after Anaphylm administration. The PK profile remained consistent, with median time to peak drug concentration (Tmax) maintained at twelve minutes and comparable geometric mean maximum concentration (Cmax) values between allergen-exposed and non-exposed cohorts. The safety profile was favorable, with all adverse events classified as mild to moderate and resolving without medical intervention.</w:t>
      </w:r>
    </w:p>
    <w:p>
      <w:pPr>
        <w:spacing w:after="0" w:line="62"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Also in October 2024, at the ACAAI 2024 Annual Meeting in Boston,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spacing w:after="0" w:line="56"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We recently received positive pre-NDA written response feedback from the FDA to the proposed CMC submission for Anaphylm. In addition, a clinically focused pre-NDA meeting with the FDA is scheduled for the fourth quarter of 2024. We are planning on initiating a full product launch of Anaphylm, if approved by the FDA, in the first quarter of 2026. This is based on commencing the pediatric study in subjects from the ages of 7 to 17 (weight greater than or equal to 30 kgs) in the fourth quarter of 2024 and completing an NDA submission with the FDA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3" w:lineRule="exact"/>
        <w:rPr>
          <w:sz w:val="20"/>
          <w:szCs w:val="20"/>
          <w:color w:val="auto"/>
        </w:rPr>
      </w:pPr>
    </w:p>
    <w:p>
      <w:pPr>
        <w:jc w:val="both"/>
        <w:ind w:left="520" w:hanging="260"/>
        <w:spacing w:after="0" w:line="175" w:lineRule="exact"/>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AQST-108 </w:t>
      </w:r>
      <w:r>
        <w:rPr>
          <w:rFonts w:ascii="Times New Roman" w:cs="Times New Roman" w:eastAsia="Times New Roman" w:hAnsi="Times New Roman"/>
          <w:sz w:val="14"/>
          <w:szCs w:val="14"/>
          <w:color w:val="auto"/>
        </w:rPr>
        <w:t>(epinephrine) topical gel – Our product candidate, AQST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108 is composed of the prodrug dipivefrin which is enzymatically cleaved into epinephrine after administration.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AQST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108, is a topically delivered adrenergic agonist prodrug, which we believe has the potential to support the re-establishment of immune privilege in the hair follicle and we are pursuing its development for the treatment of alopecia areata. We completed the first human clinical study for AQST108 The two-part study was designed to assess the safety and local tolerability of AQST-108. Part 1 was designed as a single ascending dose escalation study to assess the safety and pharmacokinetics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 dose AQST-108 concentrations in plasma were observed. We outlined the design of our planned Phase 2a study to assess the safety and efficacy of AQST-108 in mild to moderate alopecia areata patients at our investor day presentation on September 27, 2024. We have scheduled an IND meeting with the FDA in the fourth quarter of 2024 to align on the Phase 2a study design and plan to commence the Phase 2a study in the second quarter of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Proprietary CNS Product</w:t>
      </w:r>
    </w:p>
    <w:p>
      <w:pPr>
        <w:spacing w:after="0" w:line="9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We believe the application of our proprietary PharmFilm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is particularly valuable and relevant to patients suffering from certain CNS disorders to meet patients’ unmet medical needs and to solve patients’ therapeutic problems. Additionally, our know-how and proprietary position have broad application beyond CNS, and we plan to explore the applications of PharmFilm in other disease areas. Our most advanced asset within our proprietary CNS portfolio, focused in epilepsy, is as follows:</w:t>
      </w:r>
    </w:p>
    <w:p>
      <w:pPr>
        <w:spacing w:after="0" w:line="71" w:lineRule="exact"/>
        <w:rPr>
          <w:sz w:val="20"/>
          <w:szCs w:val="20"/>
          <w:color w:val="auto"/>
        </w:rPr>
      </w:pPr>
    </w:p>
    <w:p>
      <w:pPr>
        <w:ind w:left="520" w:hanging="260"/>
        <w:spacing w:after="0" w:line="29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Libervant® </w:t>
      </w:r>
      <w:r>
        <w:rPr>
          <w:rFonts w:ascii="Times New Roman" w:cs="Times New Roman" w:eastAsia="Times New Roman" w:hAnsi="Times New Roman"/>
          <w:sz w:val="14"/>
          <w:szCs w:val="14"/>
          <w:color w:val="auto"/>
        </w:rPr>
        <w:t>– a buccally, or inside of the cheek, administered soluble film formulation of diazepam is our most advanced proprietary product. Aquestive developed Libervant as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alternative to device-dependent rescue therapies currently available to patients with refractory epilepsy, which are a rectal gel and nasal sprays.</w:t>
      </w:r>
    </w:p>
    <w:p>
      <w:pPr>
        <w:spacing w:after="0" w:line="35" w:lineRule="exact"/>
        <w:rPr>
          <w:rFonts w:ascii="Times New Roman" w:cs="Times New Roman" w:eastAsia="Times New Roman" w:hAnsi="Times New Roman"/>
          <w:sz w:val="14"/>
          <w:szCs w:val="14"/>
          <w:color w:val="auto"/>
        </w:rPr>
      </w:pPr>
    </w:p>
    <w:p>
      <w:pPr>
        <w:jc w:val="both"/>
        <w:ind w:left="52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26, 2024, the FDA approved Libervant for U.S. market access for the acute treatment of intermittent, stereotypic episodes of frequent seizure activity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seizure clusters, acute repetitive seizures) that are distinct from a patient’s usual seizure pattern in patients with epilepsy between two and five years of age. Libervant is the first and only orally administered rescue product for the treatment of seizure cluster in patients between ages two and five. The only other current FDA approved product for these epilepsy patients between two and five years of age is a diazepam rectal gel. In October 2024, Libervant 5mg, 7.5mg, 10mg, 12.5mg and 15 mg for patients between two to five years of age became available through multiple retail distribution channels. Market access activities have broadened coverage. Libervant is available nationwide with retail distribution capabilities in place. For Medicaid patients, Libervant is available in all states. Commercial patient access to Libervant continues to expand based on health plan reviews and Pharmacy Benefit Manager agreements.</w:t>
      </w:r>
    </w:p>
    <w:p>
      <w:pPr>
        <w:spacing w:after="0" w:line="5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4"/>
          <w:szCs w:val="14"/>
          <w:color w:val="auto"/>
        </w:rPr>
        <w:t>Prior to the FDA approval of Libervant for patients between two to five years old, the FDA granted tentative approval in August 2022 for Libervant for the same indication in patients with epilepsy 12 years of age and older, finding that Libervant had met all required quality, safety, and efficacy standards for approval. However, due to an existing FDA regulatory grant of orphan drug market exclusivity for a diazepam nasal spray product sold by another company for use in patients 6 years of age and older, the FDA determined that Libervant was not yet eligible for marketing in the United States for this patient population of 12 years of age and older. We expect to file for FDA approval of these epilepsy patients aged between six and twelve years prior to the expiration of the orphan drug marketing exclusivity block of the nasal spray product. As a result of the orphan drug marketing exclusivity granted by the FDA to the nasal spray product, the FDA cannot give final approval for U.S. market access for Libervant for any age group of 6 and above until the expiration or inapplicability of the orphan drug market exclusivity, including, for example, by a reversal of the FDA’s decision and determination that Libervant is “clinically superior” to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this age group of six years and older earlier than January 2027, the scheduled date for expiration of orphan drug market exclusivity. See “</w:t>
      </w:r>
      <w:r>
        <w:rPr>
          <w:rFonts w:ascii="Times New Roman" w:cs="Times New Roman" w:eastAsia="Times New Roman" w:hAnsi="Times New Roman"/>
          <w:sz w:val="14"/>
          <w:szCs w:val="14"/>
          <w:i w:val="1"/>
          <w:iCs w:val="1"/>
          <w:color w:val="auto"/>
        </w:rPr>
        <w:t>Licensed Commercial Products, Product Candidates and Other Products – Libervant</w:t>
      </w:r>
      <w:r>
        <w:rPr>
          <w:rFonts w:ascii="Times New Roman" w:cs="Times New Roman" w:eastAsia="Times New Roman" w:hAnsi="Times New Roman"/>
          <w:sz w:val="14"/>
          <w:szCs w:val="14"/>
          <w:color w:val="auto"/>
        </w:rPr>
        <w:t>” for a discussion of the licensing arrangement for Libervant.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Licensed Commercial Products, Product Candidates and Other Products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portfolio also includes other products and product candidates that we have licensed, or will seek to license, or for which we have licensed our intellectual property for commercialization.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years ended December 31, 2023 and 2022, our licensed product portfolio generated $50.6 million and $47.7 million in revenue to Aquestive, respectively. In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 and 2023, our licensed product portfolio generated $45,694 and $37,377 in revenue to Aquestive, respectively. Those products include: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520" w:hanging="260"/>
        <w:spacing w:after="0" w:line="246"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Suboxone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 sublingual film formulation of buprenorphine and naloxone, respectively an opioid agonist and antagonist, that is marketed in the United States and internationally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2.7 billion doses of Suboxone since its launch in 2010. As of September 30, 2024, Suboxone branded products retain approximately 28% film market share as generic film-based products have penetrated this market. We have filed patent infringement lawsuits against certain companies relating to generic film-based products for buprenorphine-naloxone. More details regarding these lawsuits are described in the accompanying unaudited condensed financial statements, Note 19,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contained herein.</w:t>
      </w:r>
    </w:p>
    <w:p>
      <w:pPr>
        <w:spacing w:after="0" w:line="66"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39" w:lineRule="auto"/>
        <w:tabs>
          <w:tab w:leader="none" w:pos="51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Exservan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film formulation of riluzole, has been developed by the Company for the treatment of ALS. We believe that Exservan can bring meaningful assistance to patients who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diagnosed with ALS and face difficulties swallowing traditional forms of medication. Exservan was approved by the FDA on November 22, 2019. During the fourth quarter of 2019, we announced the grant of a license to Zambon for the development and commercialization of Exservan in the European Union (or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which it markets as Emylif</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Aquestive is responsible for the development and manufacture of the product. During the second quarter of 2023, Aquestive received a $0.5 million milestone payment in connection with the first commercial sale in the first country in the licensed territory for Exservan pursuant to the terms of the license agreement with Zambon.</w:t>
      </w:r>
    </w:p>
    <w:p>
      <w:pPr>
        <w:spacing w:after="0" w:line="71" w:lineRule="exact"/>
        <w:rPr>
          <w:rFonts w:ascii="Times New Roman" w:cs="Times New Roman" w:eastAsia="Times New Roman" w:hAnsi="Times New Roman"/>
          <w:sz w:val="14"/>
          <w:szCs w:val="14"/>
          <w:b w:val="1"/>
          <w:bCs w:val="1"/>
          <w:color w:val="auto"/>
        </w:rPr>
      </w:pPr>
    </w:p>
    <w:p>
      <w:pPr>
        <w:jc w:val="both"/>
        <w:ind w:left="52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January 2021, we announced that the Company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Exservan was developed to potentially fulfill a critical need for ALS patients, given it can be administered safely and easily, twice daily, without water. In June 2024, the Company and MTPA mutually agreed to terminate the MTPA Licensing Agreement. See Note 5, </w:t>
      </w:r>
      <w:r>
        <w:rPr>
          <w:rFonts w:ascii="Times New Roman" w:cs="Times New Roman" w:eastAsia="Times New Roman" w:hAnsi="Times New Roman"/>
          <w:sz w:val="14"/>
          <w:szCs w:val="14"/>
          <w:i w:val="1"/>
          <w:iCs w:val="1"/>
          <w:color w:val="auto"/>
        </w:rPr>
        <w:t>Material Agreements</w:t>
      </w:r>
      <w:r>
        <w:rPr>
          <w:rFonts w:ascii="Times New Roman" w:cs="Times New Roman" w:eastAsia="Times New Roman" w:hAnsi="Times New Roman"/>
          <w:sz w:val="14"/>
          <w:szCs w:val="14"/>
          <w:color w:val="auto"/>
        </w:rPr>
        <w:t xml:space="preserve"> to our accompanying unaudited condensed financial statements for details.</w:t>
      </w:r>
    </w:p>
    <w:p>
      <w:pPr>
        <w:spacing w:after="0" w:line="58" w:lineRule="exact"/>
        <w:rPr>
          <w:rFonts w:ascii="Times New Roman" w:cs="Times New Roman" w:eastAsia="Times New Roman" w:hAnsi="Times New Roman"/>
          <w:sz w:val="14"/>
          <w:szCs w:val="14"/>
          <w:b w:val="1"/>
          <w:bCs w:val="1"/>
          <w:color w:val="auto"/>
        </w:rPr>
      </w:pPr>
    </w:p>
    <w:p>
      <w:pPr>
        <w:jc w:val="both"/>
        <w:ind w:left="52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March 2022, we announced the grant of an exclusive license to Haisco for Haisco to develop and commercialize Exservan for the treatment of ALS in China. Haisco is a China-based public pharmaceutical company. Haisco led the regulatory and commercialization activities for Exservan in China. Aquestive was the exclusive sole manufacturer and supplier for Exservan in China. Under the terms of license agreement with Haisco, as amended, Aquestive received a $7.0 million upfront payment in September 2022, and was to receive regulatory milestone payments, double-digit royalties on net sales of Exservan in China, and earn manufacturing revenue upon the sale of Exservan in China. In June 2024, the Company and Haisco mutually agreed to terminate the Haisco Agreement. See Note 5, </w:t>
      </w:r>
      <w:r>
        <w:rPr>
          <w:rFonts w:ascii="Times New Roman" w:cs="Times New Roman" w:eastAsia="Times New Roman" w:hAnsi="Times New Roman"/>
          <w:sz w:val="14"/>
          <w:szCs w:val="14"/>
          <w:i w:val="1"/>
          <w:iCs w:val="1"/>
          <w:color w:val="auto"/>
        </w:rPr>
        <w:t>Material Agreements</w:t>
      </w:r>
      <w:r>
        <w:rPr>
          <w:rFonts w:ascii="Times New Roman" w:cs="Times New Roman" w:eastAsia="Times New Roman" w:hAnsi="Times New Roman"/>
          <w:sz w:val="14"/>
          <w:szCs w:val="14"/>
          <w:color w:val="auto"/>
        </w:rPr>
        <w:t xml:space="preserve"> to our accompanying unaudited condensed financial statements for details.</w:t>
      </w:r>
    </w:p>
    <w:p>
      <w:pPr>
        <w:spacing w:after="0" w:line="55" w:lineRule="exact"/>
        <w:rPr>
          <w:rFonts w:ascii="Times New Roman" w:cs="Times New Roman" w:eastAsia="Times New Roman" w:hAnsi="Times New Roman"/>
          <w:sz w:val="14"/>
          <w:szCs w:val="14"/>
          <w:b w:val="1"/>
          <w:bCs w:val="1"/>
          <w:color w:val="auto"/>
        </w:rPr>
      </w:pPr>
    </w:p>
    <w:p>
      <w:pPr>
        <w:jc w:val="both"/>
        <w:ind w:left="520" w:hanging="260"/>
        <w:spacing w:after="0" w:line="245"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KYNMOBI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sublingual film formulation of apomorphine, which is a dopamine agonist, was developed to treat episodic off-periods in Parkinson’s disease. We licensed our intellectual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spacing w:after="0" w:line="65"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37" w:lineRule="auto"/>
        <w:tabs>
          <w:tab w:leader="none" w:pos="516" w:val="left"/>
        </w:tabs>
        <w:numPr>
          <w:ilvl w:val="0"/>
          <w:numId w:val="11"/>
        </w:numPr>
        <w:rPr>
          <w:rFonts w:ascii="Times New Roman" w:cs="Times New Roman" w:eastAsia="Times New Roman" w:hAnsi="Times New Roman"/>
          <w:sz w:val="14"/>
          <w:szCs w:val="14"/>
          <w:b w:val="1"/>
          <w:bCs w:val="1"/>
          <w:color w:val="auto"/>
          <w:strike w:val="1"/>
        </w:rPr>
      </w:pPr>
      <w:r>
        <w:rPr>
          <w:rFonts w:ascii="Times New Roman" w:cs="Times New Roman" w:eastAsia="Times New Roman" w:hAnsi="Times New Roman"/>
          <w:sz w:val="14"/>
          <w:szCs w:val="14"/>
          <w:b w:val="1"/>
          <w:bCs w:val="1"/>
          <w:color w:val="auto"/>
        </w:rPr>
        <w:t>Zuplenz</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soluble film formulation of ondansetron, a 5-HT antagonist, was developed for the treatment of nausea and vomiting associated with chemotherapy and post-operative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recovery. Ondansetron is available as branded and generic products as intravenous injections, intramuscular injections, orally dissolving tablets, oral solution tablets, and film. We licensed commercial rights for Zuplenz to Hypera in Brazil (which Hypera markets as Ondif</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Hypera received approval to market Zuplenz in Brazil from ANVISA on February 21, 2022. Aquestive manufactures and supplies Ondif to Hypera. We licensed commercial rights for Zuplenz to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The Company submitted a request for voluntary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withdrawal of NDA 022524, Zuplenz, as the product is no longer marketed in the U.S. The request is currently being processed by FDA.</w:t>
      </w:r>
    </w:p>
    <w:p>
      <w:pPr>
        <w:spacing w:after="0" w:line="91" w:lineRule="exact"/>
        <w:rPr>
          <w:sz w:val="20"/>
          <w:szCs w:val="20"/>
          <w:color w:val="auto"/>
        </w:rPr>
      </w:pPr>
    </w:p>
    <w:p>
      <w:pPr>
        <w:jc w:val="both"/>
        <w:ind w:left="520" w:hanging="260"/>
        <w:spacing w:after="0" w:line="24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Azstarys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FDA-approved, once-daily product for the treatment of ADHD in patients age six years or older. AZSTARYS consists of serdexmethylphenidate, a prodrug of d-methylphenidate (d-MPH), co-formulated with immediate release d-MPH. In March 2012, the Company entered into an agreement with Zevra (formerly KemPharm, Inc.)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Pursuant to the terms of the March 2012 agreement with Zevra, the Company has begun to receive milestone revenues for Azstarys.</w:t>
      </w:r>
    </w:p>
    <w:p>
      <w:pPr>
        <w:spacing w:after="0" w:line="66"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Libervant® - </w:t>
      </w:r>
      <w:r>
        <w:rPr>
          <w:rFonts w:ascii="Times New Roman" w:cs="Times New Roman" w:eastAsia="Times New Roman" w:hAnsi="Times New Roman"/>
          <w:sz w:val="14"/>
          <w:szCs w:val="14"/>
          <w:color w:val="auto"/>
        </w:rPr>
        <w:t>The Company entered into the Pharmanovia Agreement with Pharmanovia, effective as of September 26, 2022, pursuant to which the Company granted Pharmanovia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exclusive license to certain of the Company’s intellectual property to develop and commercialize Libervant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The Company received $3.5 million upon agreement execution. Effective March 27, 2023, the Company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spacing w:after="0" w:line="54" w:lineRule="exact"/>
        <w:rPr>
          <w:rFonts w:ascii="Times New Roman" w:cs="Times New Roman" w:eastAsia="Times New Roman" w:hAnsi="Times New Roman"/>
          <w:sz w:val="14"/>
          <w:szCs w:val="14"/>
          <w:color w:val="auto"/>
        </w:rPr>
      </w:pPr>
    </w:p>
    <w:p>
      <w:pPr>
        <w:jc w:val="both"/>
        <w:ind w:left="520" w:hanging="260"/>
        <w:spacing w:after="0" w:line="248"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Sympazan</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soluble film formulation of clobazam used for the treatment of seizures associated with a rare, intractable form of epilepsy known as Lennox-Gastaut syndrome,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LGS, in patients aged two years of age or older, was approved by the FDA on November 1, 2018. We commercially launched Sympazan in December 2018. On October 26, 2022, the Company entered into the Assertio Agreement with Otter Pharmaceuticals, LLC, a subsidiary of Assertio Holdings, Inc., pursuant to which the Company granted an exclusive, worldwide license of its intellectual property for Sympazan to Assertio during the term of that agreement for an upfront payment of $9.0 million. Additionally, the Company subsequently received from Assertio a $6.0 million milestone payment upon the Company's receipt of a notice of allowance from the United States Patent and Trademark Office of its patent application U.S. Serial No. 16/561,573, and payment of the related allowance fee. The Company is the exclusive sole manufacturer and supplier of Sympazan for Assertio and receives manufacturing fees from Assertio for the product through the expiration of such supply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use of estimates as previously disclosed in our 2023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JOBS Act and Smaller Reporting Company</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2023, we were no longer an “emerging growth company,” as defined in the United States JOBS Act. While we were an emerging growth company, we were able to take advantage of exemptions from various reporting requirements that are applicable to other public companies that are not “emerging growth companies,” including exemption from compliance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Even though we are no longer an emerging growth company, we remain exempt from the auditor attestation requirements of Section 404(b) of the Sarbanes-Oxley Act pursuant to rules of the SEC.</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remain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revenues to date have been earned from our manufactured products made to order for licensees. Revenues are also earned from our product development services provided under contracts with customers, and from the licensing of our intellectual property. These activities generate revenues in four primary categories: manufacture and supply revenue, license and royalty revenue, co-development and research fees, and proprietary product revenue, net.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Manufacture and Supply Revenue</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 and Royalty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Co-development and Research</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Proprietary product revenue, net</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compensation expenses and interest on our corporate borrowings. We primarily record our costs and expenses in the following categories: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Manufacture and supply costs and expenses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expect to continue to seek to rationalize and manage costs to prepare for a potential decline in Suboxone volumes as the generics in that market continue to take market share, at least partially offset by anticipated manufacturing revenue of our proprietary and licensed products. In addition to our proprietary products coming online, we may add licensee products which may need additional resources to manufacture. If such growth should occur for higher volume product opportunities such as Suboxone and Ondansetron, we would incur increased costs associated with hiring additional personnel to support the increased manufacturing and supply costs arising from higher manufactured volumes from licensed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Since our inception, we have focused significant resources on our research and development activities. Research and development expenses primarily consist of:</w:t>
      </w:r>
    </w:p>
    <w:p>
      <w:pPr>
        <w:spacing w:after="0" w:line="94"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compensation, benefits, share-based compensation and travel expense;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research and development expenses incurred under arrangements with third parties, such as CROs, investigational sites and consultants;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acquiring, developing and manufacturing clinical study materials;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preclinical and clinical activities and regulatory operations.</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expect our research and development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engineering, and other costs.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will continue to manage business costs to prepare for a potential future decline in Suboxone revenue and other external factors affecting our business, as we continue to focus on our core business:</w:t>
      </w:r>
    </w:p>
    <w:p>
      <w:pPr>
        <w:spacing w:after="0" w:line="39" w:lineRule="exact"/>
        <w:rPr>
          <w:sz w:val="20"/>
          <w:szCs w:val="20"/>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the development of Anaphylm and AQST-108;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hanging="246"/>
        <w:spacing w:after="0" w:line="287" w:lineRule="auto"/>
        <w:tabs>
          <w:tab w:leader="none" w:pos="7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Commercializing Libervant after approval from the FDA on April 26, 2024 for the acute treatment of intermittent, stereotypic episodes of frequent seizure activity that are distinct from a patient’s usual seizure pattern in pediatric patients with epilepsy between two and five years of age.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Interest expense consists of interest costs on the outstanding balances of our 12.5% Notes and 13.5% Notes at a fixed rate of 12.5% and 13.5%, respectively, payable quarterly, as well as amortization of loan costs and debt discounts. The redemption of 12.5% Notes and the issuance of 13.5% Notes are discussed in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our Condensed Financial Statements. See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xml:space="preserve"> below for further detail on our 12.5% Notes and 13.5% Notes.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related to royalty obligations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our Condensed Financial Statements</w:t>
      </w:r>
      <w:r>
        <w:rPr>
          <w:rFonts w:ascii="Times New Roman" w:cs="Times New Roman" w:eastAsia="Times New Roman" w:hAnsi="Times New Roman"/>
          <w:sz w:val="14"/>
          <w:szCs w:val="14"/>
          <w:i w:val="1"/>
          <w:i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related to the sale of future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September 30, 2024 under the Monetization Agreement.</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 w:cs="Times New Roman" w:eastAsia="Times New Roman" w:hAnsi="Times New Roman"/>
          <w:sz w:val="14"/>
          <w:szCs w:val="14"/>
          <w:i w:val="1"/>
          <w:iCs w:val="1"/>
          <w:color w:val="auto"/>
        </w:rPr>
        <w:t>Transfer and Servicing</w:t>
      </w:r>
      <w:r>
        <w:rPr>
          <w:rFonts w:ascii="Times New Roman" w:cs="Times New Roman" w:eastAsia="Times New Roman" w:hAnsi="Times New Roman"/>
          <w:sz w:val="14"/>
          <w:szCs w:val="14"/>
          <w:color w:val="auto"/>
        </w:rPr>
        <w:t xml:space="preserve"> to determine whether the existing receivable was transferred to Marathon and concluded that the receivable was not transferred. See Note 15,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to our Condensed Financial Statements for further detail.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and other income, net</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other income, net consists of earnings derived from an interest-bearing account, investments in money market Treasury mutual funds and other miscellaneous income and expense items. The interest-bearing account and money market Treasury mutual funds have no minimum amounts to be maintained in the accounts nor any fixed length of period for which interest and dividends are earned.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and Nine Months Ended September 30, 2024 and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our revenue data for the periods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4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 revenue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License and royalty revenue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Co-development and research fees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 revenue, net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2024, total revenues increased 4%, or $540 compared to the same period in the prior year primarily due to a certain one-time increase in license and royalty revenue, partially offset by decreases in manufacture and supply revenue.</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Manufacture and supply revenue decreased approximately 6%, or $738 for the three months ended September 30, 2024 compared to the same period in the prior year. This decrease was primarily due to a 13%, or $1,412 decrease in Suboxone revenues and a $690 decrease in Sympazan revenues, partially offset by a $1,123 increase in Ondif revenue that was attributable to an increase in volume.</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License and royalty revenue increased 96%, or $1,059 for the three months ended September 30, 2024 compared to the same period in the prior year. This increase was primarily due to the one-time recognition of deferred revenue of $1,227 due to the termination of a licensing and supply agreement.</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Co-development and research fees for the three months ended September 30, 2024 remained relatively consistent compared to the same period in the prior year.</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Proprietary product revenue, net increased by $217 for the three months ended September 30, 2024 compared to the same period in the prior year due to the launch of Libervant for patients between two to five years of age.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total revenues increased 22%, or $8,317 compared to the same period in the prior year. The increase was primarily due to certain one-time increases in license and royalty revenue and increases in co-development and research fees, partially offset by decreases in manufacture and supply revenue.</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Manufacture and supply revenue decreased approximately 11%, or $3,495 for the nine months ended September 30, 2024 compared to the same period in the prior year. This decrease was primarily due to a 39%, or $1,329 decrease in Ondif revenue attributable to a decrease in volume and a 7%, or $1,902 decrease in Suboxone revenue mainly due to retroactive price increases in the prior period that were not present in 2024. These decreases were partially offset by a $684 increase in Exservan revenues from Zambon. As part of the Indivior Amendment 11 to the Commercial Exploitation Agreement, we received retroactive price increases related to 2022 Suboxone purchases in the amount of $1,682 which was recognized in Manufacture and supply revenue in the nine months ended September 30, 2023. There were no retroactive price adjustments included in Manufacture and supply revenue for the nine months ended September 30, 2024.</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License and royalty revenue increased 314%, or $11,011 for the nine months ended September 30, 2024 compared to the same period in the prior year. This increase was primarily due to the one-time recognition of deferred revenues of $11,544 due to the terminations of licensing and supply agreements. These increases were partially offset by a $500 decrease in license revenue recognized in the prior period for Azstarys from Zevra.</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Co-development and research fees increased 55% or $584 for the nine months ended September 30, 2024 compared to the same period in the prior year. The increase was driven by the timing of the achievement of Co-development and research performance obligations which are expected to fluctuate among reporting periods.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Proprietary product revenue, net increased by $217 for the nine months ended September 30, 2024 compared to the same period in the prior year due to the launch of Libervant for patients between two to five years of age.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 Interest Income and Other Income: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our expenses and income for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left="409"/>
              <w:spacing w:after="0" w:line="143"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left="429"/>
              <w:spacing w:after="0" w:line="143"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related to royalty obligations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related to the sale of future revenue</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and other income, net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Manufacture and supply costs and expenses decreased 8% or $361 for the three months ended September 30, 2024 compared to the same period in the prior year. The decrease was largely due to lower volume of strips sold, changes in product mix and lower direct production costs.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increased 65% or $2,073 for the three months ended September 30, 2024 compared to the same period in the prior year. The increase in Research and development expenses is primarily due to clinical trial costs and product research expenses associated with the continued advancement of the Anaphylm program, and an increase in share-based compensation. The tables below provide a breakdown of the major costs included in total Research and development expenses and project costs by type of expense for each of the main clinical development projects in which we are engaged for each period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78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100" w:type="dxa"/>
            <w:vAlign w:val="bottom"/>
          </w:tcPr>
          <w:p>
            <w:pPr>
              <w:spacing w:after="0"/>
              <w:rPr>
                <w:sz w:val="16"/>
                <w:szCs w:val="16"/>
                <w:color w:val="auto"/>
              </w:rPr>
            </w:pPr>
          </w:p>
        </w:tc>
        <w:tc>
          <w:tcPr>
            <w:tcW w:w="1780" w:type="dxa"/>
            <w:vAlign w:val="bottom"/>
            <w:tcBorders>
              <w:bottom w:val="single" w:sz="8" w:color="auto"/>
            </w:tcBorders>
            <w:gridSpan w:val="4"/>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2,107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and Manufacturing</w:t>
            </w: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Research Expenses</w:t>
            </w:r>
          </w:p>
        </w:tc>
        <w:tc>
          <w:tcPr>
            <w:tcW w:w="6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Project Expenses</w:t>
            </w: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2,577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personnel costs</w:t>
            </w: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1,574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Consulting and outside services</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R&amp;D</w:t>
            </w: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5,269</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3,196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details of the project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1"/>
                <w:szCs w:val="11"/>
                <w:color w:val="auto"/>
              </w:rPr>
            </w:pPr>
          </w:p>
        </w:tc>
        <w:tc>
          <w:tcPr>
            <w:tcW w:w="1000" w:type="dxa"/>
            <w:vAlign w:val="bottom"/>
            <w:gridSpan w:val="2"/>
          </w:tcPr>
          <w:p>
            <w:pPr>
              <w:jc w:val="center"/>
              <w:ind w:right="49"/>
              <w:spacing w:after="0" w:line="127" w:lineRule="exact"/>
              <w:rPr>
                <w:sz w:val="20"/>
                <w:szCs w:val="20"/>
                <w:color w:val="auto"/>
              </w:rPr>
            </w:pPr>
            <w:r>
              <w:rPr>
                <w:rFonts w:ascii="Times New Roman" w:cs="Times New Roman" w:eastAsia="Times New Roman" w:hAnsi="Times New Roman"/>
                <w:sz w:val="14"/>
                <w:szCs w:val="14"/>
                <w:color w:val="auto"/>
                <w:w w:val="97"/>
              </w:rPr>
              <w:t>inc /</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Anaphylm</w:t>
            </w:r>
          </w:p>
        </w:tc>
        <w:tc>
          <w:tcPr>
            <w:tcW w:w="54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rPr>
              <w:t>inc /</w:t>
            </w:r>
          </w:p>
        </w:tc>
        <w:tc>
          <w:tcPr>
            <w:tcW w:w="160" w:type="dxa"/>
            <w:vAlign w:val="bottom"/>
          </w:tcPr>
          <w:p>
            <w:pPr>
              <w:spacing w:after="0"/>
              <w:rPr>
                <w:sz w:val="11"/>
                <w:szCs w:val="11"/>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AQST-108</w:t>
            </w:r>
          </w:p>
        </w:tc>
        <w:tc>
          <w:tcPr>
            <w:tcW w:w="220" w:type="dxa"/>
            <w:vAlign w:val="bottom"/>
          </w:tcPr>
          <w:p>
            <w:pPr>
              <w:spacing w:after="0"/>
              <w:rPr>
                <w:sz w:val="11"/>
                <w:szCs w:val="11"/>
                <w:color w:val="auto"/>
              </w:rPr>
            </w:pPr>
          </w:p>
        </w:tc>
        <w:tc>
          <w:tcPr>
            <w:tcW w:w="620" w:type="dxa"/>
            <w:vAlign w:val="bottom"/>
          </w:tcPr>
          <w:p>
            <w:pPr>
              <w:ind w:left="40"/>
              <w:spacing w:after="0" w:line="127" w:lineRule="exact"/>
              <w:rPr>
                <w:sz w:val="20"/>
                <w:szCs w:val="20"/>
                <w:color w:val="auto"/>
              </w:rPr>
            </w:pPr>
            <w:r>
              <w:rPr>
                <w:rFonts w:ascii="Times New Roman" w:cs="Times New Roman" w:eastAsia="Times New Roman" w:hAnsi="Times New Roman"/>
                <w:sz w:val="14"/>
                <w:szCs w:val="14"/>
                <w:color w:val="auto"/>
              </w:rPr>
              <w:t>inc /</w:t>
            </w:r>
          </w:p>
        </w:tc>
        <w:tc>
          <w:tcPr>
            <w:tcW w:w="160" w:type="dxa"/>
            <w:vAlign w:val="bottom"/>
          </w:tcPr>
          <w:p>
            <w:pPr>
              <w:spacing w:after="0"/>
              <w:rPr>
                <w:sz w:val="11"/>
                <w:szCs w:val="11"/>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Libervant</w:t>
            </w:r>
          </w:p>
        </w:tc>
        <w:tc>
          <w:tcPr>
            <w:tcW w:w="5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inc /</w:t>
            </w:r>
          </w:p>
        </w:tc>
        <w:tc>
          <w:tcPr>
            <w:tcW w:w="0" w:type="dxa"/>
            <w:vAlign w:val="bottom"/>
          </w:tcPr>
          <w:p>
            <w:pPr>
              <w:spacing w:after="0"/>
              <w:rPr>
                <w:sz w:val="1"/>
                <w:szCs w:val="1"/>
                <w:color w:val="auto"/>
              </w:rPr>
            </w:pPr>
          </w:p>
        </w:tc>
      </w:tr>
      <w:tr>
        <w:trPr>
          <w:trHeight w:val="170"/>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center"/>
              <w:ind w:right="89"/>
              <w:spacing w:after="0"/>
              <w:rPr>
                <w:sz w:val="20"/>
                <w:szCs w:val="20"/>
                <w:color w:val="auto"/>
              </w:rPr>
            </w:pPr>
            <w:r>
              <w:rPr>
                <w:rFonts w:ascii="Times New Roman" w:cs="Times New Roman" w:eastAsia="Times New Roman" w:hAnsi="Times New Roman"/>
                <w:sz w:val="14"/>
                <w:szCs w:val="14"/>
                <w:color w:val="auto"/>
              </w:rPr>
              <w:t>dec</w:t>
            </w:r>
          </w:p>
        </w:tc>
        <w:tc>
          <w:tcPr>
            <w:tcW w:w="9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dec</w:t>
            </w: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dec</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dec</w:t>
            </w:r>
          </w:p>
        </w:tc>
        <w:tc>
          <w:tcPr>
            <w:tcW w:w="0" w:type="dxa"/>
            <w:vAlign w:val="bottom"/>
          </w:tcPr>
          <w:p>
            <w:pPr>
              <w:spacing w:after="0"/>
              <w:rPr>
                <w:sz w:val="1"/>
                <w:szCs w:val="1"/>
                <w:color w:val="auto"/>
              </w:rPr>
            </w:pPr>
          </w:p>
        </w:tc>
      </w:tr>
      <w:tr>
        <w:trPr>
          <w:trHeight w:val="17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920" w:type="dxa"/>
            <w:vAlign w:val="bottom"/>
            <w:tcBorders>
              <w:top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158 %</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and Manufacturing</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(70 %)</w:t>
            </w:r>
          </w:p>
        </w:tc>
        <w:tc>
          <w:tcPr>
            <w:tcW w:w="16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5"/>
                <w:szCs w:val="15"/>
                <w:color w:val="auto"/>
              </w:rPr>
            </w:pPr>
          </w:p>
        </w:tc>
        <w:tc>
          <w:tcPr>
            <w:tcW w:w="6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w w:val="94"/>
              </w:rPr>
              <w:t>(19)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Research Expenses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439 %</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Project Expenses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131 %</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color w:val="auto"/>
                <w:w w:val="94"/>
              </w:rPr>
              <w:t>(19)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Total project expenses for Anaphylm increased 131%, or $1,476 over the comparable period in 2023. Anaphylm clinical trial expenses and product research expenses increased $1,290 and $347, respectively, over the comparable period in 2023, partially offset by decreases in development and manufacturing of $161. Clinical trial expenses for Anaphylm of $2,107 were primarily due to clinical trial costs associated with the continued advancement of the Anaphylm program. Product research expenses for Anaphylm increased $347, or 439%, primarily related to expenses incurred for the preparation of the NDA filing. During the three months ended September 30, 2023, clinical trial expenses for Anaphylm of $817 were related to the activities leading up to the Phase 3 PK Study.</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R&amp;D share-based compensation increased by $206, or 198% primarily related to the effect of new grants in 2024 to R&amp;D personnel. All other R&amp;D expenses include rent, utilities, maintenance and other expenses and fees.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increased 64% or $4,741 for the three months ended September 30, 2024 as compared to the same period in the prior year. The increase primarily represents higher personnel costs of approximately $900, higher consulting and market access costs of $890, higher share-based compensation expenses of $555, higher regulatory and licensing fees of $520 related to the regulatory fee for Libervant, higher expenses of $1,484 due to a change in the allocation of manufacture and supply costs compared to the prior period and other expenses, partially offset by decreases in other general and administrative costs including insurance expense.</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expense increased 121% or $1,524 for the three months ended September 30, 2024 compared to the same period in the prior year. The increase was mostly driven by the increased amortization of debt issuance costs and discounts on the 13.5% Notes refinancing in November 2023 for the three months ended September 30, 2024 compared to the three months ended September 30, 2023.</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related to royalty obligations represents amortization of the discount on the royalty obligations. For the three months ended September 30, 2024, the amount was $1,359.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amount is due to the accounting associated with the royalty obligations as part of the 13.5% Notes issuance. There were no expenses related to the royalty obligations in the same period in 2023.</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Interest expense related to the sale of future revenue was $59 and $56 for the three months ended September 30, 2024 and September 30, 2023,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to our Condensed Financial Statements for details.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other income, net was $979 for the three months ended September 30, 2024 which primarily represents higher investment income due to higher cash balances invested in interest-bearing and dividend-earning money market accounts. Interest income and other income, net was $1,514 for the three months ended September 30, 2023 which primarily represented the receipt of the Employee Retention Tax Credit refund.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Manufacture and supply costs and expenses decreased 17% or $2,800 for the nine months ended September 30, 2024 compared to the same period in the prior year. The decrease was largely due to lower volume of strips sold, changes in product mix, and lower direct production costs.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increased 50% or $5,147 for the nine months ended September 30, 2024 compared to the same period in the prior year. The increase in Research and development expenses is primarily due to clinical trial costs associated with the continued advancement of the Anaphylm and AQST-108 programs, increases in personnel costs, and an increase in share-based compensation. The tables below provide a breakdown of the major costs included in total Research and development expenses and project costs by type of expense for each of the main clinical development projects in which we are engaged for each period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2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and Manufacturing</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Research Expenses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Project Expenses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personnel costs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Consulting and outside services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R&amp;D</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details of the project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1"/>
                <w:szCs w:val="11"/>
                <w:color w:val="auto"/>
              </w:rPr>
            </w:pP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w w:val="97"/>
              </w:rPr>
              <w:t>inc /</w:t>
            </w:r>
          </w:p>
        </w:tc>
        <w:tc>
          <w:tcPr>
            <w:tcW w:w="160" w:type="dxa"/>
            <w:vAlign w:val="bottom"/>
          </w:tcPr>
          <w:p>
            <w:pPr>
              <w:spacing w:after="0"/>
              <w:rPr>
                <w:sz w:val="11"/>
                <w:szCs w:val="11"/>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Anaphylm</w:t>
            </w:r>
          </w:p>
        </w:tc>
        <w:tc>
          <w:tcPr>
            <w:tcW w:w="54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rPr>
              <w:t>inc /</w:t>
            </w:r>
          </w:p>
        </w:tc>
        <w:tc>
          <w:tcPr>
            <w:tcW w:w="160" w:type="dxa"/>
            <w:vAlign w:val="bottom"/>
          </w:tcPr>
          <w:p>
            <w:pPr>
              <w:spacing w:after="0"/>
              <w:rPr>
                <w:sz w:val="11"/>
                <w:szCs w:val="11"/>
                <w:color w:val="auto"/>
              </w:rPr>
            </w:pPr>
          </w:p>
        </w:tc>
        <w:tc>
          <w:tcPr>
            <w:tcW w:w="1120" w:type="dxa"/>
            <w:vAlign w:val="bottom"/>
            <w:gridSpan w:val="3"/>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AQST-108</w:t>
            </w:r>
          </w:p>
        </w:tc>
        <w:tc>
          <w:tcPr>
            <w:tcW w:w="220" w:type="dxa"/>
            <w:vAlign w:val="bottom"/>
          </w:tcPr>
          <w:p>
            <w:pPr>
              <w:spacing w:after="0"/>
              <w:rPr>
                <w:sz w:val="11"/>
                <w:szCs w:val="11"/>
                <w:color w:val="auto"/>
              </w:rPr>
            </w:pP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rPr>
              <w:t>inc /</w:t>
            </w:r>
          </w:p>
        </w:tc>
        <w:tc>
          <w:tcPr>
            <w:tcW w:w="160" w:type="dxa"/>
            <w:vAlign w:val="bottom"/>
          </w:tcPr>
          <w:p>
            <w:pPr>
              <w:spacing w:after="0"/>
              <w:rPr>
                <w:sz w:val="11"/>
                <w:szCs w:val="11"/>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Libervant</w:t>
            </w:r>
          </w:p>
        </w:tc>
        <w:tc>
          <w:tcPr>
            <w:tcW w:w="5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inc /</w:t>
            </w:r>
          </w:p>
        </w:tc>
        <w:tc>
          <w:tcPr>
            <w:tcW w:w="0" w:type="dxa"/>
            <w:vAlign w:val="bottom"/>
          </w:tcPr>
          <w:p>
            <w:pPr>
              <w:spacing w:after="0"/>
              <w:rPr>
                <w:sz w:val="1"/>
                <w:szCs w:val="1"/>
                <w:color w:val="auto"/>
              </w:rPr>
            </w:pPr>
          </w:p>
        </w:tc>
      </w:tr>
      <w:tr>
        <w:trPr>
          <w:trHeight w:val="170"/>
        </w:trPr>
        <w:tc>
          <w:tcPr>
            <w:tcW w:w="2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dec</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CCEEFF"/>
            </w:tcBorders>
          </w:tcPr>
          <w:p>
            <w:pPr>
              <w:jc w:val="center"/>
              <w:ind w:right="9"/>
              <w:spacing w:after="0"/>
              <w:rPr>
                <w:sz w:val="20"/>
                <w:szCs w:val="20"/>
                <w:color w:val="auto"/>
              </w:rPr>
            </w:pPr>
            <w:r>
              <w:rPr>
                <w:rFonts w:ascii="Times New Roman" w:cs="Times New Roman" w:eastAsia="Times New Roman" w:hAnsi="Times New Roman"/>
                <w:sz w:val="14"/>
                <w:szCs w:val="14"/>
                <w:color w:val="auto"/>
              </w:rPr>
              <w:t>dec</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2"/>
              </w:rPr>
              <w:t>dec</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88"/>
              </w:rPr>
              <w:t>dec</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95 %</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and Manufacturing</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N/M</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Research Expenses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112 %</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N/M</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Project Expenses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77 %</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N/M</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Total project expenses for Anaphylm increased 77%, or $3,229 over the comparable period in 2023. Clinical trial expenses and product research expenses for Anaphylm increased $3,210 and $322, respectively, over the comparable period in 2023 offset by decreases in development and manufacturing of $303. Clinical trial expenses for Anaphylm of $6,591 were primarily due to clinical trial costs associated with the continued advancement of the Anaphylm program. Clinical trial expenses for Anaphylm of $3,381 were related to the activities leading up to the Phase 3 PK Study. Total project expenses for AQST-108 increased $784 over the comparable period in 2023 and were related to feasibility work for AQST-108. During the nine months ended September 30, 2023, product research expenses for Libervant of $215 were primarily due to data integration and modeling work.</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R&amp;D personnel costs increased by 12%, or $507, for the nine months ended September 30, 2024. as compared to the same period in 2023, due to additional headcount. R&amp;D share-based compensation increased by $511, or 184%, which was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primarily related to awards granted to our Chief Medical Officer upon his commencement of employment and the effect of new grants in 2024 to R&amp;D personnel. All other R&amp;D expenses include rent, utilities, maintenance and other expenses and fees.</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expenses increased 54% or $11,971 for the nine months ended September 30, 2024 as compared to the same period in the prior year. The increase primarily represents higher personnel costs of approximately $2,500, higher consulting and market access costs of approximately $1,830, higher share-based compensation expenses of $1,800, one-time severance costs of approximately $1,100, higher regulatory and licensing fees of approximately $880 related to the regulatory fee for Libervant, higher expenses of $4,100 due to a year-over-year change in the allocation of manufacture and supply costs, and other expenses, partially offset by lower legal fees of $940 and decreases in other general and administrative costs including insurance expense.</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expense increased 105% or $4,279 for the nine months ended September 30, 2024 as compared to the same period in the prior year. The increase was mostly driven by the increased amortization of debt issuance costs and discounts on the 13.5% Notes refinancing in November 2023 for the nine months ended September 30, 2024 compared to the nine months ended September 30, 2023.</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related to royalty obligations represents amortization of the discount on the royalty obligations. For the nine months ended September 30, 2024, the amount was $4,075. This amount is due to the accounting associated with the royalty obligations as part of the 13.5% Notes issuance. There were no expenses related to the royalty obligations in the same period in 2023.</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Interest expense related to the sale of future revenue was $175 and $163 for the nine months ended September 30, 2024 and 2023,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to our Condensed Financial Statements for details.</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Interest and other income, net was $2,703 and 16,156 for the nine months ended September 30, 2024 and 2023, respectively. The decrease by $13,453 is due to other income of $6,000 related to the Amendment 11 to the Indivior Commercial Exploitation Agreement, $8,500 related to the patent litigation settlement with BioDelivery Sciences International, Inc. and the receipt of the ERTC, which were recognized in the nine months ended September 30, 2023 and did not occur during the comparable period. During the nine months ended September 30, 2024, we recognized a gain of $1,500 on the termination of a license and supply agreement, which was partially offset by the adjustment of $1,200 to the remaining balance of the intangible asset due to the termination of the agreement; we also recognized higher interest income by $2,100 due to higher cash balances invested in interest-bearing and dividend-earning money market accounts.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had $77,893 in cash and cash equivalents as of September 30, 2024. While our ability to execute our business objectives and achieve profitability over the longer term cannot be assured, our on-going business, existing cash and cash equivalents, expense management activities, as well as access to the equity capital markets, including through the ATM facility and under the Lincoln Park Purchase Agreement, provide near term liquidity for us to fund our operating needs for at least the next twelve months as we continue to execute our business strategy. As discussed below, on November 1, 2023, we issued $45,000 in aggregate principal amount of 13.5% Notes due November 1, 2028. A portion of the net proceeds from this transaction was used to redeem all of the outstanding 12.5% Notes and to pay expenses relating to that offering, with the balance of the proceeds to be used for general corporate purposes.</w:t>
      </w:r>
    </w:p>
    <w:p>
      <w:pPr>
        <w:spacing w:after="0" w:line="5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On October 7, 2021, we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we entered into a Consent Fee Letter with the holders of the 12.5% Notes, pursuant to which we agreed to pay the holders of the</w:t>
      </w:r>
    </w:p>
    <w:p>
      <w:pPr>
        <w:jc w:val="both"/>
        <w:spacing w:after="0" w:line="266" w:lineRule="auto"/>
        <w:rPr>
          <w:sz w:val="20"/>
          <w:szCs w:val="20"/>
          <w:color w:val="auto"/>
        </w:rPr>
      </w:pPr>
      <w:r>
        <w:rPr>
          <w:rFonts w:ascii="Times New Roman" w:cs="Times New Roman" w:eastAsia="Times New Roman" w:hAnsi="Times New Roman"/>
          <w:sz w:val="14"/>
          <w:szCs w:val="14"/>
          <w:color w:val="auto"/>
        </w:rPr>
        <w:t>12.5% Notes an additional cash payment of $2,700 in the aggregate, payable in four quarterly payments beginning May 15, 2022. The last quarterly payment was made during the three months ended March 31, 2023.</w:t>
      </w:r>
    </w:p>
    <w:p>
      <w:pPr>
        <w:spacing w:after="0" w:line="5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nine months ended September 30, 2023, we redeemed $5,647 of our outstanding 12.5% Notes. We also paid $353 in prepayment premium as result of the early retirement of debt which was reflected as a loss on extinguishment of debt in our Condensed Statements of Operations and Comprehensive (Loss) Income for the nine months ended September 30,</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2023. The prepayments along with the scheduled principal payments of $6,878 during the nine months ended September 30, 2023 reduced the net balance of the 12.5% Notes outstanding in the aggregate to $38,975 as of September 30, 2023.</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established our first ATM facility in September 2019, and since inception to September 30, 2024, we have sold 19,857,518 shares of Common Stock which has generated net cash proceeds of approximately $60,558, net of commissions and other transactions costs of $3,085. On April 3, 2024, we filed a new shelf registration statement on Form S-3 to register the offer and sale of up to $250,000 worth of shares of Common Stock ("Registration Statement No. 333-278498" or the "2024 Registration Statement"), that was declared effective by the SEC on April 23, 2024. Included as part of the 2024 Registration Statement was a $100,000 ATM facility pursuant to the Amended Equity Distribution Agreement with Piper Sandler &amp; Co.</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the three months ended September 30, 2024, there were no shares of Common Stock sold under the ATM facility. For the nine months ended September 30, 2024, we sold 4,557,220 shares of Common Stock under the ATM facility which provided net proceeds of approximately $11,855 after deducting commissions and other transaction costs of $530. For the nine months ended September 30, 2023, we sold 3,184,740 shares under the ATM facility which provided net proceeds of approximately $5,274 after deducting commissions and other transaction costs of $392.</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we sold 1,600,000 shares in addition to 236,491 commitment shares, which provided proceeds of approximately $1,987 in connection with the Lincoln Park Purchase Agreement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We did not sell shares in connection with the Lincoln Park Purchase Agreement in 2023 or in the nine months ended September 30, 2024. We have no current intent to use the Lincoln Park facility.</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6, 2022, we entered into the Securities Purchase Agreements with certain purchasers. The Securities Purchase Agreements provide for the sale and issuance by us of an aggregate of:</w:t>
      </w:r>
    </w:p>
    <w:p>
      <w:pPr>
        <w:spacing w:after="0" w:line="23" w:lineRule="exact"/>
        <w:rPr>
          <w:sz w:val="20"/>
          <w:szCs w:val="20"/>
          <w:color w:val="auto"/>
        </w:rPr>
      </w:pPr>
    </w:p>
    <w:p>
      <w:pPr>
        <w:jc w:val="both"/>
        <w:ind w:firstLine="5"/>
        <w:spacing w:after="0" w:line="259" w:lineRule="auto"/>
        <w:tabs>
          <w:tab w:leader="none" w:pos="1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w:t>
      </w:r>
    </w:p>
    <w:p>
      <w:pPr>
        <w:spacing w:after="0" w:line="5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w:t>
      </w:r>
    </w:p>
    <w:p>
      <w:pPr>
        <w:spacing w:after="0" w:line="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November 1, 2023, we issued $45,000 aggregate principal amount of its 13.5% Notes due November 1, 2028. A portion of the net proceeds from that offering was used to redeem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 as of September 30,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16"/>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and 2023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4"/>
        </w:trPr>
        <w:tc>
          <w:tcPr>
            <w:tcW w:w="100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1"/>
                <w:szCs w:val="21"/>
                <w:color w:val="auto"/>
              </w:rPr>
            </w:pPr>
          </w:p>
        </w:tc>
      </w:tr>
      <w:tr>
        <w:trPr>
          <w:trHeight w:val="186"/>
        </w:trPr>
        <w:tc>
          <w:tcPr>
            <w:tcW w:w="10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76"/>
        </w:trPr>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18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r>
      <w:tr>
        <w:trPr>
          <w:trHeight w:val="18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1"/>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54,021</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r>
      <w:tr>
        <w:trPr>
          <w:trHeight w:val="20"/>
        </w:trPr>
        <w:tc>
          <w:tcPr>
            <w:tcW w:w="1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for operating activities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Net cash used for operating activities for the nine months ended September 30, 2024 increased by $27,832 compared to the same period in the prior year. The increase in cash used for operating activities was primarily related to the change in net (loss) income of $27,323 and deferred revenue of $15,021, which was attributed to the recognition of deferred revenues due to the termination of license and supply agreements during the nine months ended September 30, 2024, partially offset by decreases in trade and other receivables of $1,949. Other changes were mainly due to higher amortization of debt issuance costs and discounts of $7,841 on the 13.5% Notes refinancing in November 2023 and an increase in share-based compensation of $2,947 as compared with the nine months ended September 30,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for investing activities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Net cash used for investing activities for the nine months ended September 30, 2024 decreased by $835 compared to the same period in the prior year. The use of cash was related to capital expenditures.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September 30, 2024 increased by $83,374 compared to the same period in the prior year. The increase was primarily related to the Underwritten Public Offering which provided net proceeds of $71,974, higher ATM proceeds of $6,543 due to higher volumes and Common Stock prices as compared to the nine months ended September 30, 2023. These increases during the nine months ended September 30, 2024 were also due to absence of 12.5% Notes principal payments and premium paid to retire debt partially offset by no proceeds received from the issuance and exercise of the warrants as compared to the same period in the prior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on-going business, existing cash and equivalents, expense management activities as well as access to the equity capital markets, including through our ATM facility, potentially provide near term funding opportunities for Aquestive, see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On November 1, 2023, we issued $45,000 in aggregate principal amount of the 13.5% Notes due November 1, 2028. A portion of the net proceeds from that offering were used to redeem all of the outstanding 12.5% Notes and to pay expenses relating to that offering, with the balance of the proceeds to be used for general corporate purposes.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 as of September 30, 2024.</w:t>
      </w:r>
    </w:p>
    <w:p>
      <w:pPr>
        <w:spacing w:after="0" w:line="5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intend to use the net proceeds received from these transactions, together with the Company’s existing cash and cash equivalents, primarily to advance the development and commercialization of the Company's product pipeline, including Libervant, for the treatment of seizure clusters in epilepsy patients between two and five years of age, and Anaphylm, and for working capital, capital expenditures and general corporate purposes.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hanging="246"/>
        <w:spacing w:after="0" w:line="287"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ability of our customers to pay, in a timely manner, for presently contracted and future anticipated orders for our manufactured products, including effects of generics and other competitive pressures as currently envisioned;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ability of our customers to pay, in a timely manner, for presently contracted and future anticipated orders for provided co-development and feasibility services, as well as regulatory support services for recently licensed products;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debt or equity markets if, and at the time, needed for any necessary future funding, including our ability to access funding through our ATM facility and under the Lincoln Park Purchase Agreement, should we choose to access those facilities;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review and appropriate adjustment of our cost structure consistent with our anticipated revenues and funding;</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growth and market penetration of Sympazan, including anticipated patient and physician acceptance and our licensee’s ability to obtain adequate reimbursement and payment support from government agencies and other private medical insurers;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commercialization within anticipated cost levels and expected ramp-up timeframes of our product Libervant for pediatric patients between two and five years of age;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and administrative costs at expected levels to support operations as an FDA and highly regulated public company;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manageable level of costs for ongoing efforts to protect our intellectual property rights and litigation matters in which we are involved;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compliance with all covenants under our 13.5% Notes, including our ability to comply with our debt service obligations as required thereunder;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significant unforeseen cash requirements.</w:t>
      </w:r>
    </w:p>
    <w:p>
      <w:pPr>
        <w:spacing w:after="0" w:line="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further advance the commercialization of Libervant for pediatric patients between two and five years of age and development and commercialization of Anaphylm and AQST-108, if approved by the FDA, and to meet our other cash requirements, including debt service, specifically our 13.5% Notes. We plan to conservatively manage our launch spending as to both timing and level relating to Libervant in light of the approval of Libervant by the FDA for patients between two and five years of age. Even as such, we expect to incur losses and negative cash flows for the foreseeable future and, therefore, we expect to be dependent upon external financing and funding to achieve our operating plan.</w:t>
      </w:r>
    </w:p>
    <w:p>
      <w:pPr>
        <w:spacing w:after="0" w:line="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the fourth quarter of 2024 to 2033, which are further discussed in Note 13,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spacing w:after="0" w:line="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continue to be successful in raising capital or that any such needed financing will be available on favorable or acceptable terms, if at all.</w:t>
      </w:r>
    </w:p>
    <w:p>
      <w:pPr>
        <w:spacing w:after="0" w:line="8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and research and development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reasonable terms.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or our early stage product candidates and/or asset acquisitions or other strategic transactions for the Company. There is no assurance that any such outlicensing or other strategic opportunities will be available or available on reasonable terms.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a “smaller reporting company” as defined by Item 10 of Regulation S-K promulgated by the SEC under the U.S. Securities Act of 1933, as amended, we are not required to provide the information required by this Item 3.</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Evaluation of our Disclosure Controls and Procedures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of September 30, 2024,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2024, our disclosure controls and procedures were effective at a reasonable assurance level.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Internal Control Over Financial Reporting</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more information on Legal Proceedings, see Part I Item I. Financial Statements (Unaudited), Note 19,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2023 Annual Report on Form 10-K.</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Use of Proceeds, and Issuer Purchases of Equity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Chief Executive Officer Daniel Barber adopted a written sales plan intended to satisfy the affirmative defense conditions of Rule 10b5-1(c) of the Exchange Act (the "Barber Plan") on June 14, 2024. The Barber Plan commenced on September 13, 2024 and ends on September 30, 2025. The maximum number of shares to be sold under the Barber Plan is 650,055 shares and no shares have been sold as of the date of this Report; the actual number of shares sold will be dependent on the satisfaction of certain conditions set forth in the Barber Plan.</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Senior Vice President Peter Boyd adopted a written sales plan intended to satisfy the affirmative defense conditions of Rule 10b5-1(c) of the Exchange Act (the "Boyd Plan") on September 11, 2024. The Boyd Plan commences on December 13, 2024 and ends on December 12, 2025. The maximum number of shares to be sold under the Boyd Plan is 35,000 shares; the actual number of shares sold will be dependent on the satisfaction of certain conditions set forth in the Boyd Plan.</w:t>
      </w:r>
    </w:p>
    <w:p>
      <w:pPr>
        <w:spacing w:after="0" w:line="4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below are filed or furnished as part of this report.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9"/>
        </w:trPr>
        <w:tc>
          <w:tcPr>
            <w:tcW w:w="200" w:type="dxa"/>
            <w:vAlign w:val="bottom"/>
            <w:tcBorders>
              <w:top w:val="single" w:sz="8" w:color="auto"/>
            </w:tcBorders>
            <w:gridSpan w:val="2"/>
            <w:shd w:val="clear" w:color="auto" w:fill="CCEEFF"/>
          </w:tcPr>
          <w:p>
            <w:pPr>
              <w:ind w:left="20"/>
              <w:spacing w:after="0" w:line="139" w:lineRule="exact"/>
              <w:rPr>
                <w:rFonts w:ascii="Times New Roman" w:cs="Times New Roman" w:eastAsia="Times New Roman" w:hAnsi="Times New Roman"/>
                <w:sz w:val="14"/>
                <w:szCs w:val="14"/>
                <w:color w:val="0000FF"/>
                <w:w w:val="79"/>
              </w:rPr>
            </w:pPr>
            <w:hyperlink r:id="rId66">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96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Amended and Restated Certificate of Incorporation, dated as of July 27, 2018 (filed as Exhibit 3.1 to the Current Report on Form 8-K of the Company, as filed on July 27,</w:t>
            </w:r>
          </w:p>
        </w:tc>
        <w:tc>
          <w:tcPr>
            <w:tcW w:w="20" w:type="dxa"/>
            <w:vAlign w:val="bottom"/>
          </w:tcPr>
          <w:p>
            <w:pPr>
              <w:spacing w:after="0"/>
              <w:rPr>
                <w:sz w:val="12"/>
                <w:szCs w:val="12"/>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96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 and incorporated by reference herein).</w:t>
            </w:r>
          </w:p>
        </w:tc>
        <w:tc>
          <w:tcPr>
            <w:tcW w:w="20" w:type="dxa"/>
            <w:vAlign w:val="bottom"/>
          </w:tcPr>
          <w:p>
            <w:pPr>
              <w:spacing w:after="0"/>
              <w:rPr>
                <w:sz w:val="13"/>
                <w:szCs w:val="13"/>
                <w:color w:val="auto"/>
              </w:rPr>
            </w:pPr>
          </w:p>
        </w:tc>
      </w:tr>
      <w:tr>
        <w:trPr>
          <w:trHeight w:val="149"/>
        </w:trPr>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Bylaws, dated as of October 16, 2024 (filed herewith).</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00" w:type="dxa"/>
            <w:vAlign w:val="bottom"/>
            <w:shd w:val="clear" w:color="auto" w:fill="CCEEFF"/>
          </w:tcPr>
          <w:p>
            <w:pPr>
              <w:spacing w:after="0"/>
              <w:rPr>
                <w:sz w:val="13"/>
                <w:szCs w:val="13"/>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 as amended, under the Securities Exchange Act of 1934, as Adopted Pursuant to</w:t>
            </w:r>
          </w:p>
        </w:tc>
        <w:tc>
          <w:tcPr>
            <w:tcW w:w="20" w:type="dxa"/>
            <w:vAlign w:val="bottom"/>
          </w:tcPr>
          <w:p>
            <w:pPr>
              <w:spacing w:after="0"/>
              <w:rPr>
                <w:sz w:val="13"/>
                <w:szCs w:val="13"/>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96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Section 302 of the Sarbanes-Oxley Act of 2002 (filed herewith).</w:t>
            </w:r>
          </w:p>
        </w:tc>
        <w:tc>
          <w:tcPr>
            <w:tcW w:w="20" w:type="dxa"/>
            <w:vAlign w:val="bottom"/>
          </w:tcPr>
          <w:p>
            <w:pPr>
              <w:spacing w:after="0"/>
              <w:rPr>
                <w:sz w:val="13"/>
                <w:szCs w:val="13"/>
                <w:color w:val="auto"/>
              </w:rPr>
            </w:pPr>
          </w:p>
        </w:tc>
      </w:tr>
      <w:tr>
        <w:trPr>
          <w:trHeight w:val="149"/>
        </w:trPr>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 as amended, under the Securities Exchange Act of 1934, as Adopted Pursuant to Section</w:t>
            </w: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302 of the Sarbanes-Oxley Act of 2002 (filed herewith).</w:t>
            </w:r>
          </w:p>
        </w:tc>
      </w:tr>
      <w:tr>
        <w:trPr>
          <w:trHeight w:val="149"/>
        </w:trPr>
        <w:tc>
          <w:tcPr>
            <w:tcW w:w="11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00" w:type="dxa"/>
            <w:vAlign w:val="bottom"/>
            <w:shd w:val="clear" w:color="auto" w:fill="CCEEFF"/>
          </w:tcPr>
          <w:p>
            <w:pPr>
              <w:spacing w:after="0"/>
              <w:rPr>
                <w:sz w:val="12"/>
                <w:szCs w:val="12"/>
                <w:color w:val="auto"/>
              </w:rPr>
            </w:pPr>
          </w:p>
        </w:tc>
        <w:tc>
          <w:tcPr>
            <w:tcW w:w="10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 Adopted Pursuant to Section 906 of the Sarbanes-Oxley Act of 2002 (furnished herewith).</w:t>
            </w:r>
          </w:p>
        </w:tc>
        <w:tc>
          <w:tcPr>
            <w:tcW w:w="20" w:type="dxa"/>
            <w:vAlign w:val="bottom"/>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96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 Adopted Pursuant to Section 906 of the Sarbanes-Oxley Act of 2002 (furnished herewith).</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101.INS*</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Instance Document</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20" w:type="dxa"/>
            <w:vAlign w:val="bottom"/>
          </w:tcPr>
          <w:p>
            <w:pPr>
              <w:spacing w:after="0"/>
              <w:rPr>
                <w:sz w:val="15"/>
                <w:szCs w:val="15"/>
                <w:color w:val="auto"/>
              </w:rPr>
            </w:pPr>
          </w:p>
        </w:tc>
      </w:tr>
      <w:tr>
        <w:trPr>
          <w:trHeight w:val="180"/>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document and contained in exhibit 101)</w:t>
            </w:r>
          </w:p>
        </w:tc>
        <w:tc>
          <w:tcPr>
            <w:tcW w:w="20" w:type="dxa"/>
            <w:vAlign w:val="bottom"/>
          </w:tcPr>
          <w:p>
            <w:pPr>
              <w:spacing w:after="0"/>
              <w:rPr>
                <w:sz w:val="15"/>
                <w:szCs w:val="15"/>
                <w:color w:val="auto"/>
              </w:rPr>
            </w:pPr>
          </w:p>
        </w:tc>
      </w:tr>
      <w:tr>
        <w:trPr>
          <w:trHeight w:val="233"/>
        </w:trPr>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10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7"/>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4320"/>
              <w:spacing w:after="0"/>
              <w:rPr>
                <w:sz w:val="20"/>
                <w:szCs w:val="20"/>
                <w:color w:val="auto"/>
              </w:rPr>
            </w:pPr>
            <w:r>
              <w:rPr>
                <w:rFonts w:ascii="Times New Roman" w:cs="Times New Roman" w:eastAsia="Times New Roman" w:hAnsi="Times New Roman"/>
                <w:sz w:val="11"/>
                <w:szCs w:val="11"/>
                <w:color w:val="auto"/>
              </w:rPr>
              <w:t>51</w:t>
            </w:r>
          </w:p>
        </w:tc>
        <w:tc>
          <w:tcPr>
            <w:tcW w:w="20" w:type="dxa"/>
            <w:vAlign w:val="bottom"/>
          </w:tcPr>
          <w:p>
            <w:pPr>
              <w:spacing w:after="0"/>
              <w:rPr>
                <w:sz w:val="24"/>
                <w:szCs w:val="24"/>
                <w:color w:val="auto"/>
              </w:rPr>
            </w:pPr>
          </w:p>
        </w:tc>
      </w:tr>
      <w:tr>
        <w:trPr>
          <w:trHeight w:val="84"/>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thereunto duly authorized, in the County of Somerset, State of New Jersey.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Aquestive Therapeutics, Inc.</w:t>
            </w:r>
          </w:p>
        </w:tc>
      </w:tr>
      <w:tr>
        <w:trPr>
          <w:trHeight w:val="184"/>
        </w:trPr>
        <w:tc>
          <w:tcPr>
            <w:tcW w:w="7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(REGISTRANT)</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November 4, 2024</w:t>
            </w:r>
          </w:p>
        </w:tc>
        <w:tc>
          <w:tcPr>
            <w:tcW w:w="176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Barber</w:t>
            </w:r>
          </w:p>
        </w:tc>
      </w:tr>
      <w:tr>
        <w:trPr>
          <w:trHeight w:val="165"/>
        </w:trPr>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Barber</w:t>
            </w:r>
          </w:p>
        </w:tc>
      </w:tr>
      <w:tr>
        <w:trPr>
          <w:trHeight w:val="180"/>
        </w:trPr>
        <w:tc>
          <w:tcPr>
            <w:tcW w:w="7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86"/>
        </w:trPr>
        <w:tc>
          <w:tcPr>
            <w:tcW w:w="7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November 4, 2024</w:t>
            </w:r>
          </w:p>
        </w:tc>
        <w:tc>
          <w:tcPr>
            <w:tcW w:w="176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 Ernest Toth, Jr.</w:t>
            </w:r>
          </w:p>
        </w:tc>
      </w:tr>
      <w:tr>
        <w:trPr>
          <w:trHeight w:val="165"/>
        </w:trPr>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 Ernest Toth, Jr.</w:t>
            </w:r>
          </w:p>
        </w:tc>
      </w:tr>
      <w:tr>
        <w:trPr>
          <w:trHeight w:val="180"/>
        </w:trPr>
        <w:tc>
          <w:tcPr>
            <w:tcW w:w="7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7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r>
        <w:trPr>
          <w:trHeight w:val="753"/>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554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of 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Barber, certify that:</w:t>
      </w:r>
    </w:p>
    <w:p>
      <w:pPr>
        <w:spacing w:after="0" w:line="200"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Aquestive Therapeutics, Inc.;</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62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60" w:right="420" w:hanging="246"/>
        <w:spacing w:after="0" w:line="287" w:lineRule="auto"/>
        <w:tabs>
          <w:tab w:leader="none" w:pos="7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60" w:right="60" w:hanging="246"/>
        <w:spacing w:after="0" w:line="287" w:lineRule="auto"/>
        <w:tabs>
          <w:tab w:leader="none" w:pos="7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4, 2024</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Daniel Barber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078"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and Accounting Officer of 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 Ernest Toth, Jr, certify that:</w:t>
      </w:r>
    </w:p>
    <w:p>
      <w:pPr>
        <w:spacing w:after="0" w:line="200"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Aquestive Therapeutics, Inc.;</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62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60" w:right="420" w:hanging="246"/>
        <w:spacing w:after="0" w:line="287" w:lineRule="auto"/>
        <w:tabs>
          <w:tab w:leader="none" w:pos="7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60" w:right="60" w:hanging="246"/>
        <w:spacing w:after="0" w:line="287" w:lineRule="auto"/>
        <w:tabs>
          <w:tab w:leader="none" w:pos="7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4, 2024</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Ernest Toth,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078"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145" w:lineRule="exact"/>
        <w:rPr>
          <w:sz w:val="20"/>
          <w:szCs w:val="20"/>
          <w:color w:val="auto"/>
        </w:rPr>
      </w:pPr>
    </w:p>
    <w:p>
      <w:pPr>
        <w:ind w:left="520" w:right="28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Quarterly Report on Form 10-Q for the period-ended September 30, 2024, to which this Certification is attached as Exhibit 32.1 (the “Quarterly Report”), fully complies with the requirements of Section 13(a) or Section 15(d) of the Exchange Act; and</w:t>
      </w:r>
    </w:p>
    <w:p>
      <w:pPr>
        <w:spacing w:after="0" w:line="145"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4, 2024</w:t>
      </w:r>
    </w:p>
    <w:p>
      <w:pPr>
        <w:spacing w:after="0" w:line="2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Daniel Barber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80"/>
          </w:cols>
          <w:pgMar w:left="300" w:top="1078"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and Accounting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145" w:lineRule="exact"/>
        <w:rPr>
          <w:sz w:val="20"/>
          <w:szCs w:val="20"/>
          <w:color w:val="auto"/>
        </w:rPr>
      </w:pPr>
    </w:p>
    <w:p>
      <w:pPr>
        <w:ind w:left="520" w:right="280" w:hanging="260"/>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Quarterly Report on Form 10-Q for the period-ended September 30, 2024, to which this Certification is attached as Exhibit 32.2 (the “Quarterly Report”), fully complies with the requirements of Section 13(a) or Section 15(d) of the Exchange Act; and</w:t>
      </w:r>
    </w:p>
    <w:p>
      <w:pPr>
        <w:spacing w:after="0" w:line="145"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4, 2024</w:t>
      </w:r>
    </w:p>
    <w:p>
      <w:pPr>
        <w:spacing w:after="0" w:line="2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Ernest Toth,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80"/>
      </w:cols>
      <w:pgMar w:left="300" w:top="107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lvl w:ilvl="1">
      <w:lvlJc w:val="left"/>
      <w:lvlText w:val="%2."/>
      <w:numFmt w:val="lowerRoman"/>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66" Type="http://schemas.openxmlformats.org/officeDocument/2006/relationships/hyperlink" Target="https://www.sec.gov/Archives/edgar/data/1398733/000114036118033895/s002128x30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2024-11-04T16:13:25Z</dcterms:created>
  <dcterms:modified xsi:type="dcterms:W3CDTF">2024-11-04T16:13:25Z</dcterms:modified>
</cp:coreProperties>
</file>