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Aquestive Therapeutics,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p>
      <w:pPr>
        <w:spacing w:after="0" w:line="30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001-38599</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82-3827296</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00" w:space="720"/>
            <w:col w:w="3240"/>
          </w:cols>
          <w:pgMar w:left="320" w:top="934" w:right="339" w:bottom="1440" w:gutter="0" w:footer="0" w:header="0"/>
          <w:type w:val="continuous"/>
        </w:sectPr>
      </w:pP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Technology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Warren, NJ 07059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(908) 941-1900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w:t>
      </w:r>
    </w:p>
    <w:p>
      <w:pPr>
        <w:spacing w:after="0" w:line="27" w:lineRule="exact"/>
        <w:rPr>
          <w:sz w:val="24"/>
          <w:szCs w:val="24"/>
          <w:color w:val="auto"/>
        </w:rPr>
      </w:pPr>
    </w:p>
    <w:p>
      <w:pPr>
        <w:ind w:right="680"/>
        <w:spacing w:after="0" w:line="27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740" w:hanging="714"/>
        <w:spacing w:after="0" w:line="233" w:lineRule="auto"/>
        <w:tabs>
          <w:tab w:leader="none" w:pos="74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0" w:lineRule="exact"/>
        <w:rPr>
          <w:rFonts w:ascii="MS PGothic" w:cs="MS PGothic" w:eastAsia="MS PGothic" w:hAnsi="MS PGothic"/>
          <w:sz w:val="36"/>
          <w:szCs w:val="36"/>
          <w:color w:val="auto"/>
          <w:vertAlign w:val="superscript"/>
        </w:rPr>
      </w:pPr>
    </w:p>
    <w:p>
      <w:pPr>
        <w:ind w:left="740" w:hanging="714"/>
        <w:spacing w:after="0" w:line="183" w:lineRule="auto"/>
        <w:tabs>
          <w:tab w:leader="none" w:pos="74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10" w:lineRule="exact"/>
        <w:rPr>
          <w:rFonts w:ascii="MS PGothic" w:cs="MS PGothic" w:eastAsia="MS PGothic" w:hAnsi="MS PGothic"/>
          <w:sz w:val="28"/>
          <w:szCs w:val="28"/>
          <w:color w:val="auto"/>
          <w:vertAlign w:val="superscript"/>
        </w:rPr>
      </w:pPr>
    </w:p>
    <w:p>
      <w:pPr>
        <w:ind w:left="740" w:hanging="714"/>
        <w:spacing w:after="0" w:line="183" w:lineRule="auto"/>
        <w:tabs>
          <w:tab w:leader="none" w:pos="74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10" w:lineRule="exact"/>
        <w:rPr>
          <w:rFonts w:ascii="MS PGothic" w:cs="MS PGothic" w:eastAsia="MS PGothic" w:hAnsi="MS PGothic"/>
          <w:sz w:val="28"/>
          <w:szCs w:val="28"/>
          <w:color w:val="auto"/>
          <w:vertAlign w:val="superscript"/>
        </w:rPr>
      </w:pPr>
    </w:p>
    <w:p>
      <w:pPr>
        <w:ind w:left="740" w:hanging="714"/>
        <w:spacing w:after="0" w:line="183" w:lineRule="auto"/>
        <w:tabs>
          <w:tab w:leader="none" w:pos="74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2"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3900" w:type="dxa"/>
            <w:vAlign w:val="bottom"/>
            <w:tcBorders>
              <w:top w:val="single" w:sz="8" w:color="auto"/>
              <w:left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880" w:type="dxa"/>
            <w:vAlign w:val="bottom"/>
            <w:tcBorders>
              <w:top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Trading Symbol(s)</w:t>
            </w:r>
          </w:p>
        </w:tc>
        <w:tc>
          <w:tcPr>
            <w:tcW w:w="4440" w:type="dxa"/>
            <w:vAlign w:val="bottom"/>
            <w:tcBorders>
              <w:top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50"/>
        </w:trPr>
        <w:tc>
          <w:tcPr>
            <w:tcW w:w="3900" w:type="dxa"/>
            <w:vAlign w:val="bottom"/>
            <w:tcBorders>
              <w:left w:val="single" w:sz="8" w:color="auto"/>
              <w:bottom w:val="single" w:sz="8" w:color="auto"/>
              <w:right w:val="single" w:sz="8" w:color="auto"/>
            </w:tcBorders>
          </w:tcPr>
          <w:p>
            <w:pPr>
              <w:spacing w:after="0"/>
              <w:rPr>
                <w:sz w:val="21"/>
                <w:szCs w:val="21"/>
                <w:color w:val="auto"/>
              </w:rPr>
            </w:pPr>
          </w:p>
        </w:tc>
        <w:tc>
          <w:tcPr>
            <w:tcW w:w="288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36"/>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AQST</w:t>
            </w:r>
          </w:p>
        </w:tc>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306"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20"/>
        <w:spacing w:after="0" w:line="184" w:lineRule="exact"/>
        <w:tabs>
          <w:tab w:leader="none" w:pos="36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type w:val="continuous"/>
        </w:sectPr>
      </w:pPr>
    </w:p>
    <w:bookmarkStart w:id="1" w:name="page2"/>
    <w:bookmarkEnd w:id="1"/>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0" w:lineRule="exact"/>
        <w:rPr>
          <w:sz w:val="20"/>
          <w:szCs w:val="20"/>
          <w:color w:val="auto"/>
        </w:rPr>
      </w:pPr>
    </w:p>
    <w:p>
      <w:pPr>
        <w:spacing w:after="0" w:line="205"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Aquestive Therapeutics, Inc. (the "Company") held its 2026 Annual Meeting of Stockholders (the "Annual Meeting") on June 10, 2026.</w:t>
      </w:r>
    </w:p>
    <w:p>
      <w:pPr>
        <w:spacing w:after="0" w:line="2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voting on each of the matters submitted to a vote of stockholders at the Annual Meeting are set forth below.</w:t>
      </w:r>
    </w:p>
    <w:p>
      <w:pPr>
        <w:spacing w:after="0" w:line="23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director nominees were elected to serve as Class II members of the Board of Directors, to serve for a three-year term until the Company's</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Annual Meeting of Stockholders and until his or her successor is duly elected and qualified: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Abstaining</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B. Brown, M.D.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41,373,033</w:t>
            </w:r>
          </w:p>
        </w:tc>
        <w:tc>
          <w:tcPr>
            <w:tcW w:w="2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1,222,711</w:t>
            </w:r>
          </w:p>
        </w:tc>
        <w:tc>
          <w:tcPr>
            <w:tcW w:w="22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37,465,582</w:t>
            </w: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S. Cochran</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36,914,899</w:t>
            </w:r>
          </w:p>
        </w:tc>
        <w:tc>
          <w:tcPr>
            <w:tcW w:w="2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5,680,845</w:t>
            </w:r>
          </w:p>
        </w:tc>
        <w:tc>
          <w:tcPr>
            <w:tcW w:w="2200" w:type="dxa"/>
            <w:vAlign w:val="bottom"/>
          </w:tcPr>
          <w:p>
            <w:pPr>
              <w:spacing w:after="0"/>
              <w:rPr>
                <w:sz w:val="19"/>
                <w:szCs w:val="19"/>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Abigail L. Jenkins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39,094,166</w:t>
            </w:r>
          </w:p>
        </w:tc>
        <w:tc>
          <w:tcPr>
            <w:tcW w:w="2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3,501,578</w:t>
            </w:r>
          </w:p>
        </w:tc>
        <w:tc>
          <w:tcPr>
            <w:tcW w:w="220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proposal to approve, on a non-binding advisory basis, executive compensation was approved for the one year.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7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37,798,609</w:t>
            </w:r>
          </w:p>
        </w:tc>
        <w:tc>
          <w:tcPr>
            <w:tcW w:w="28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3,192,381</w:t>
            </w:r>
          </w:p>
        </w:tc>
        <w:tc>
          <w:tcPr>
            <w:tcW w:w="28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1,604,754</w:t>
            </w:r>
          </w:p>
        </w:tc>
        <w:tc>
          <w:tcPr>
            <w:tcW w:w="28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37,465,582</w:t>
            </w:r>
          </w:p>
        </w:tc>
      </w:tr>
    </w:tbl>
    <w:p>
      <w:pPr>
        <w:spacing w:after="0" w:line="200" w:lineRule="exact"/>
        <w:rPr>
          <w:sz w:val="20"/>
          <w:szCs w:val="20"/>
          <w:color w:val="auto"/>
        </w:rPr>
      </w:pPr>
    </w:p>
    <w:p>
      <w:pPr>
        <w:spacing w:after="0" w:line="330" w:lineRule="exact"/>
        <w:rPr>
          <w:sz w:val="20"/>
          <w:szCs w:val="20"/>
          <w:color w:val="auto"/>
        </w:rPr>
      </w:pPr>
    </w:p>
    <w:p>
      <w:pPr>
        <w:ind w:right="240" w:firstLine="8"/>
        <w:spacing w:after="0" w:line="26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KPMG LLP as the independent registered public accounting firm for the Company for the fiscal year ending December 31, 2026 was ratified.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60" w:type="dxa"/>
            <w:vAlign w:val="bottom"/>
            <w:tcBorders>
              <w:bottom w:val="single" w:sz="8" w:color="auto"/>
            </w:tcBorders>
            <w:shd w:val="clear" w:color="auto" w:fill="CCEEFF"/>
          </w:tcPr>
          <w:p>
            <w:pPr>
              <w:spacing w:after="0"/>
              <w:rPr>
                <w:sz w:val="19"/>
                <w:szCs w:val="19"/>
                <w:color w:val="auto"/>
              </w:rPr>
            </w:pPr>
          </w:p>
        </w:tc>
        <w:tc>
          <w:tcPr>
            <w:tcW w:w="34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520" w:type="dxa"/>
            <w:vAlign w:val="bottom"/>
            <w:tcBorders>
              <w:bottom w:val="single" w:sz="8" w:color="auto"/>
            </w:tcBorders>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180" w:type="dxa"/>
            <w:vAlign w:val="bottom"/>
            <w:tcBorders>
              <w:bottom w:val="single" w:sz="8" w:color="auto"/>
            </w:tcBorders>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r>
      <w:tr>
        <w:trPr>
          <w:trHeight w:val="228"/>
        </w:trPr>
        <w:tc>
          <w:tcPr>
            <w:tcW w:w="1060" w:type="dxa"/>
            <w:vAlign w:val="bottom"/>
          </w:tcPr>
          <w:p>
            <w:pPr>
              <w:spacing w:after="0"/>
              <w:rPr>
                <w:sz w:val="19"/>
                <w:szCs w:val="19"/>
                <w:color w:val="auto"/>
              </w:rPr>
            </w:pPr>
          </w:p>
        </w:tc>
        <w:tc>
          <w:tcPr>
            <w:tcW w:w="3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78,804,323</w:t>
            </w:r>
          </w:p>
        </w:tc>
        <w:tc>
          <w:tcPr>
            <w:tcW w:w="352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910,690</w:t>
            </w:r>
          </w:p>
        </w:tc>
        <w:tc>
          <w:tcPr>
            <w:tcW w:w="318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346,313</w:t>
            </w:r>
          </w:p>
        </w:tc>
      </w:tr>
      <w:tr>
        <w:trPr>
          <w:trHeight w:val="58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35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1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5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34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3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Description</w:t>
            </w:r>
          </w:p>
        </w:tc>
        <w:tc>
          <w:tcPr>
            <w:tcW w:w="35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3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Cover Page Interaction Data File (embedded within the Inline XBRL document)</w:t>
            </w:r>
          </w:p>
        </w:tc>
        <w:tc>
          <w:tcPr>
            <w:tcW w:w="3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20"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b w:val="1"/>
          <w:bCs w:val="1"/>
          <w:color w:val="auto"/>
        </w:rPr>
        <w:t>June 10, 2026</w:t>
      </w:r>
      <w:r>
        <w:rPr>
          <w:sz w:val="20"/>
          <w:szCs w:val="20"/>
          <w:color w:val="auto"/>
        </w:rPr>
        <w:tab/>
      </w:r>
      <w:r>
        <w:rPr>
          <w:rFonts w:ascii="Times New Roman" w:cs="Times New Roman" w:eastAsia="Times New Roman" w:hAnsi="Times New Roman"/>
          <w:sz w:val="17"/>
          <w:szCs w:val="17"/>
          <w:color w:val="auto"/>
        </w:rPr>
        <w:t>Aquestive Therapeutics, Inc.</w:t>
      </w:r>
    </w:p>
    <w:p>
      <w:pPr>
        <w:spacing w:after="0" w:line="256" w:lineRule="exact"/>
        <w:rPr>
          <w:sz w:val="20"/>
          <w:szCs w:val="20"/>
          <w:color w:val="auto"/>
        </w:rPr>
      </w:pPr>
    </w:p>
    <w:p>
      <w:pPr>
        <w:ind w:left="552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291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1840" cy="1714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A. Ernest Toth, Jr.</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10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2026-06-10T15:03:31Z</dcterms:created>
  <dcterms:modified xsi:type="dcterms:W3CDTF">2026-06-10T15:03:31Z</dcterms:modified>
</cp:coreProperties>
</file>